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F083" w14:textId="77777777" w:rsidR="00812D59" w:rsidRPr="005D31B8" w:rsidRDefault="00812D59" w:rsidP="00812D59">
      <w:pPr>
        <w:jc w:val="right"/>
        <w:rPr>
          <w:rFonts w:ascii="Ubuntu" w:eastAsia="Verdana" w:hAnsi="Ubuntu" w:cs="Verdana"/>
          <w:b/>
          <w:bCs/>
          <w:color w:val="000000" w:themeColor="text1"/>
          <w:sz w:val="18"/>
          <w:szCs w:val="18"/>
          <w:lang w:val="de-DE"/>
        </w:rPr>
      </w:pPr>
      <w:r w:rsidRPr="005D31B8">
        <w:rPr>
          <w:rFonts w:ascii="Ubuntu" w:eastAsia="Verdana" w:hAnsi="Ubuntu" w:cs="Verdana"/>
          <w:b/>
          <w:bCs/>
          <w:color w:val="000000" w:themeColor="text1"/>
          <w:sz w:val="18"/>
          <w:szCs w:val="18"/>
          <w:lang w:val="de-DE"/>
        </w:rPr>
        <w:t>Pressekontakt:</w:t>
      </w:r>
    </w:p>
    <w:p w14:paraId="6F7C953F" w14:textId="24ADD25D" w:rsidR="00812D59" w:rsidRPr="00121BFB" w:rsidRDefault="00F0574B" w:rsidP="00812D59">
      <w:pPr>
        <w:spacing w:line="276" w:lineRule="auto"/>
        <w:jc w:val="right"/>
        <w:rPr>
          <w:rFonts w:ascii="Ubuntu" w:eastAsia="Verdana" w:hAnsi="Ubuntu" w:cs="Verdana"/>
          <w:i/>
          <w:color w:val="000000" w:themeColor="text1"/>
          <w:sz w:val="18"/>
          <w:szCs w:val="18"/>
          <w:lang w:val="de-DE"/>
        </w:rPr>
      </w:pPr>
      <w:r w:rsidRPr="00121BFB">
        <w:rPr>
          <w:rFonts w:ascii="Ubuntu" w:eastAsia="Verdana" w:hAnsi="Ubuntu" w:cs="Verdana"/>
          <w:i/>
          <w:color w:val="000000" w:themeColor="text1"/>
          <w:sz w:val="18"/>
          <w:szCs w:val="18"/>
          <w:lang w:val="de-DE"/>
        </w:rPr>
        <w:t>Karin Brandner</w:t>
      </w:r>
    </w:p>
    <w:p w14:paraId="197692EB" w14:textId="2BAB9B34" w:rsidR="00812D59" w:rsidRPr="00121BFB" w:rsidRDefault="00812D59" w:rsidP="00812D59">
      <w:pPr>
        <w:spacing w:line="276" w:lineRule="auto"/>
        <w:jc w:val="right"/>
        <w:rPr>
          <w:rFonts w:ascii="Ubuntu" w:eastAsia="Verdana" w:hAnsi="Ubuntu" w:cs="Verdana"/>
          <w:i/>
          <w:color w:val="000000" w:themeColor="text1"/>
          <w:sz w:val="18"/>
          <w:szCs w:val="18"/>
          <w:lang w:val="de-DE"/>
        </w:rPr>
      </w:pPr>
      <w:r w:rsidRPr="00121BFB">
        <w:rPr>
          <w:rFonts w:ascii="Ubuntu" w:eastAsia="Verdana" w:hAnsi="Ubuntu" w:cs="Verdana"/>
          <w:i/>
          <w:color w:val="000000" w:themeColor="text1"/>
          <w:sz w:val="18"/>
          <w:szCs w:val="18"/>
          <w:lang w:val="de-DE"/>
        </w:rPr>
        <w:t>Tel.: + 4</w:t>
      </w:r>
      <w:r w:rsidR="00F0574B" w:rsidRPr="00121BFB">
        <w:rPr>
          <w:rFonts w:ascii="Ubuntu" w:eastAsia="Verdana" w:hAnsi="Ubuntu" w:cs="Verdana"/>
          <w:i/>
          <w:color w:val="000000" w:themeColor="text1"/>
          <w:sz w:val="18"/>
          <w:szCs w:val="18"/>
          <w:lang w:val="de-DE"/>
        </w:rPr>
        <w:t>3</w:t>
      </w:r>
      <w:r w:rsidRPr="00121BFB">
        <w:rPr>
          <w:rFonts w:ascii="Ubuntu" w:eastAsia="Verdana" w:hAnsi="Ubuntu" w:cs="Verdana"/>
          <w:i/>
          <w:color w:val="000000" w:themeColor="text1"/>
          <w:sz w:val="18"/>
          <w:szCs w:val="18"/>
          <w:lang w:val="de-DE"/>
        </w:rPr>
        <w:t xml:space="preserve"> </w:t>
      </w:r>
      <w:r w:rsidR="00F0574B" w:rsidRPr="00121BFB">
        <w:rPr>
          <w:rFonts w:ascii="Ubuntu" w:eastAsia="Verdana" w:hAnsi="Ubuntu" w:cs="Verdana"/>
          <w:i/>
          <w:color w:val="000000" w:themeColor="text1"/>
          <w:sz w:val="18"/>
          <w:szCs w:val="18"/>
          <w:lang w:val="de-DE"/>
        </w:rPr>
        <w:t>677</w:t>
      </w:r>
      <w:r w:rsidRPr="00121BFB">
        <w:rPr>
          <w:rFonts w:ascii="Ubuntu" w:eastAsia="Verdana" w:hAnsi="Ubuntu" w:cs="Verdana"/>
          <w:i/>
          <w:color w:val="000000" w:themeColor="text1"/>
          <w:sz w:val="18"/>
          <w:szCs w:val="18"/>
          <w:lang w:val="de-DE"/>
        </w:rPr>
        <w:t xml:space="preserve"> </w:t>
      </w:r>
      <w:r w:rsidR="006D1D6F" w:rsidRPr="00121BFB">
        <w:rPr>
          <w:rFonts w:ascii="Ubuntu" w:eastAsia="Verdana" w:hAnsi="Ubuntu" w:cs="Verdana"/>
          <w:i/>
          <w:color w:val="000000" w:themeColor="text1"/>
          <w:sz w:val="18"/>
          <w:szCs w:val="18"/>
          <w:lang w:val="de-DE"/>
        </w:rPr>
        <w:t>6230</w:t>
      </w:r>
      <w:r w:rsidR="00D66EA3" w:rsidRPr="00121BFB">
        <w:rPr>
          <w:rFonts w:ascii="Ubuntu" w:eastAsia="Verdana" w:hAnsi="Ubuntu" w:cs="Verdana"/>
          <w:i/>
          <w:color w:val="000000" w:themeColor="text1"/>
          <w:sz w:val="18"/>
          <w:szCs w:val="18"/>
          <w:lang w:val="de-DE"/>
        </w:rPr>
        <w:t xml:space="preserve"> </w:t>
      </w:r>
      <w:r w:rsidR="006D1D6F" w:rsidRPr="00121BFB">
        <w:rPr>
          <w:rFonts w:ascii="Ubuntu" w:eastAsia="Verdana" w:hAnsi="Ubuntu" w:cs="Verdana"/>
          <w:i/>
          <w:color w:val="000000" w:themeColor="text1"/>
          <w:sz w:val="18"/>
          <w:szCs w:val="18"/>
          <w:lang w:val="de-DE"/>
        </w:rPr>
        <w:t>5008</w:t>
      </w:r>
    </w:p>
    <w:p w14:paraId="74EEF824" w14:textId="22431D93" w:rsidR="00812D59" w:rsidRPr="00850682" w:rsidRDefault="00812D59" w:rsidP="00812D59">
      <w:pPr>
        <w:spacing w:line="276" w:lineRule="auto"/>
        <w:jc w:val="right"/>
        <w:rPr>
          <w:rFonts w:ascii="Ubuntu" w:eastAsia="Verdana" w:hAnsi="Ubuntu" w:cs="Verdana"/>
          <w:color w:val="0070C0"/>
          <w:sz w:val="18"/>
          <w:szCs w:val="18"/>
          <w:lang w:val="de-DE"/>
        </w:rPr>
      </w:pPr>
      <w:r w:rsidRPr="00121BFB">
        <w:rPr>
          <w:rFonts w:ascii="Ubuntu" w:eastAsia="Verdana" w:hAnsi="Ubuntu" w:cs="Verdana"/>
          <w:i/>
          <w:color w:val="000000" w:themeColor="text1"/>
          <w:sz w:val="18"/>
          <w:szCs w:val="18"/>
          <w:lang w:val="de-DE"/>
        </w:rPr>
        <w:t xml:space="preserve">E-Mail: </w:t>
      </w:r>
      <w:hyperlink r:id="rId11" w:history="1">
        <w:r w:rsidR="00D66EA3" w:rsidRPr="00850682">
          <w:rPr>
            <w:rStyle w:val="Hyperlink"/>
            <w:rFonts w:ascii="Ubuntu" w:eastAsiaTheme="majorEastAsia" w:hAnsi="Ubuntu" w:cs="Segoe UI"/>
            <w:i/>
            <w:iCs/>
            <w:color w:val="0070C0"/>
            <w:sz w:val="18"/>
            <w:szCs w:val="18"/>
          </w:rPr>
          <w:t>karin.brandner@reiterpr.com</w:t>
        </w:r>
      </w:hyperlink>
    </w:p>
    <w:p w14:paraId="284C0096" w14:textId="77777777" w:rsidR="00D914E5" w:rsidRPr="00812D59" w:rsidRDefault="00D914E5" w:rsidP="001C66CD">
      <w:pPr>
        <w:spacing w:line="276" w:lineRule="auto"/>
        <w:jc w:val="center"/>
        <w:rPr>
          <w:rFonts w:ascii="Ubuntu" w:hAnsi="Ubuntu"/>
          <w:b/>
          <w:bCs/>
          <w:sz w:val="22"/>
          <w:szCs w:val="22"/>
          <w:lang w:val="de-DE"/>
        </w:rPr>
      </w:pPr>
    </w:p>
    <w:p w14:paraId="74105E30" w14:textId="77777777" w:rsidR="00D914E5" w:rsidRPr="00812D59" w:rsidRDefault="00D914E5" w:rsidP="001C66CD">
      <w:pPr>
        <w:spacing w:line="276" w:lineRule="auto"/>
        <w:jc w:val="center"/>
        <w:rPr>
          <w:rFonts w:ascii="Ubuntu" w:hAnsi="Ubuntu"/>
          <w:b/>
          <w:bCs/>
          <w:sz w:val="22"/>
          <w:szCs w:val="22"/>
          <w:lang w:val="de-DE"/>
        </w:rPr>
      </w:pPr>
    </w:p>
    <w:p w14:paraId="47071716" w14:textId="77777777" w:rsidR="00D914E5" w:rsidRPr="00812D59" w:rsidRDefault="00D914E5" w:rsidP="001C66CD">
      <w:pPr>
        <w:spacing w:line="276" w:lineRule="auto"/>
        <w:jc w:val="center"/>
        <w:rPr>
          <w:rFonts w:ascii="Ubuntu" w:hAnsi="Ubuntu"/>
          <w:b/>
          <w:bCs/>
          <w:sz w:val="22"/>
          <w:szCs w:val="22"/>
          <w:lang w:val="de-DE"/>
        </w:rPr>
      </w:pPr>
    </w:p>
    <w:p w14:paraId="5E895B9C" w14:textId="1300C410" w:rsidR="001C66CD" w:rsidRPr="00812D59" w:rsidRDefault="00D914E5" w:rsidP="001C66CD">
      <w:pPr>
        <w:spacing w:line="276" w:lineRule="auto"/>
        <w:jc w:val="center"/>
        <w:rPr>
          <w:rFonts w:ascii="Ubuntu" w:hAnsi="Ubuntu"/>
          <w:b/>
          <w:bCs/>
          <w:sz w:val="22"/>
          <w:szCs w:val="22"/>
          <w:lang w:val="de-DE"/>
        </w:rPr>
      </w:pPr>
      <w:r w:rsidRPr="00812D59">
        <w:rPr>
          <w:rFonts w:ascii="Ubuntu" w:hAnsi="Ubuntu"/>
          <w:b/>
          <w:bCs/>
          <w:sz w:val="22"/>
          <w:szCs w:val="22"/>
          <w:lang w:val="de-DE"/>
        </w:rPr>
        <w:t xml:space="preserve">Banken und Versicherungen setzen KI-Agenten ein, um Betrug zu bekämpfen und Anträge zu bearbeiten, und </w:t>
      </w:r>
      <w:r w:rsidR="00902365" w:rsidRPr="00812D59">
        <w:rPr>
          <w:rFonts w:ascii="Ubuntu" w:hAnsi="Ubuntu"/>
          <w:b/>
          <w:bCs/>
          <w:sz w:val="22"/>
          <w:szCs w:val="22"/>
          <w:lang w:val="de-DE"/>
        </w:rPr>
        <w:t xml:space="preserve">planen neue </w:t>
      </w:r>
      <w:r w:rsidR="003E349F">
        <w:rPr>
          <w:rFonts w:ascii="Ubuntu" w:hAnsi="Ubuntu"/>
          <w:b/>
          <w:bCs/>
          <w:sz w:val="22"/>
          <w:szCs w:val="22"/>
          <w:lang w:val="de-DE"/>
        </w:rPr>
        <w:t>Rollen</w:t>
      </w:r>
      <w:r w:rsidR="00902365" w:rsidRPr="00812D59">
        <w:rPr>
          <w:rFonts w:ascii="Ubuntu" w:hAnsi="Ubuntu"/>
          <w:b/>
          <w:bCs/>
          <w:sz w:val="22"/>
          <w:szCs w:val="22"/>
          <w:lang w:val="de-DE"/>
        </w:rPr>
        <w:t xml:space="preserve"> zur </w:t>
      </w:r>
      <w:r w:rsidR="00D24986">
        <w:rPr>
          <w:rFonts w:ascii="Ubuntu" w:hAnsi="Ubuntu"/>
          <w:b/>
          <w:bCs/>
          <w:sz w:val="22"/>
          <w:szCs w:val="22"/>
          <w:lang w:val="de-DE"/>
        </w:rPr>
        <w:t>Beaufsichtigung</w:t>
      </w:r>
      <w:r w:rsidRPr="00812D59">
        <w:rPr>
          <w:rFonts w:ascii="Ubuntu" w:hAnsi="Ubuntu"/>
          <w:b/>
          <w:bCs/>
          <w:sz w:val="22"/>
          <w:szCs w:val="22"/>
          <w:lang w:val="de-DE"/>
        </w:rPr>
        <w:t xml:space="preserve"> der KI</w:t>
      </w:r>
    </w:p>
    <w:p w14:paraId="568C4E3B" w14:textId="77777777" w:rsidR="001C66CD" w:rsidRPr="00812D59" w:rsidRDefault="001C66CD" w:rsidP="001C66CD">
      <w:pPr>
        <w:spacing w:line="276" w:lineRule="auto"/>
        <w:jc w:val="center"/>
        <w:rPr>
          <w:rFonts w:ascii="Ubuntu" w:hAnsi="Ubuntu"/>
          <w:sz w:val="18"/>
          <w:szCs w:val="18"/>
          <w:lang w:val="de-DE"/>
        </w:rPr>
      </w:pPr>
    </w:p>
    <w:p w14:paraId="4FA5F7F8" w14:textId="77777777" w:rsidR="00D914E5" w:rsidRPr="00812D59" w:rsidRDefault="00D914E5" w:rsidP="00D914E5">
      <w:pPr>
        <w:numPr>
          <w:ilvl w:val="0"/>
          <w:numId w:val="11"/>
        </w:numPr>
        <w:spacing w:line="276" w:lineRule="auto"/>
        <w:jc w:val="both"/>
        <w:textAlignment w:val="baseline"/>
        <w:rPr>
          <w:rFonts w:ascii="Ubuntu" w:hAnsi="Ubuntu"/>
          <w:b/>
          <w:bCs/>
          <w:sz w:val="18"/>
          <w:szCs w:val="18"/>
          <w:lang w:val="de-DE"/>
        </w:rPr>
      </w:pPr>
      <w:r w:rsidRPr="00812D59">
        <w:rPr>
          <w:rFonts w:ascii="Ubuntu" w:hAnsi="Ubuntu"/>
          <w:b/>
          <w:bCs/>
          <w:i/>
          <w:iCs/>
          <w:color w:val="000000"/>
          <w:sz w:val="18"/>
          <w:szCs w:val="18"/>
          <w:lang w:val="de-DE"/>
        </w:rPr>
        <w:t>Drei von fünf Banken und Versicherungen nennen die Kundengewinnung als einen der Hauptgründe für den Einsatz von KI-Agenten</w:t>
      </w:r>
    </w:p>
    <w:p w14:paraId="409A7DF7" w14:textId="41B4A468" w:rsidR="00D914E5" w:rsidRPr="00812D59" w:rsidRDefault="00D914E5" w:rsidP="00D914E5">
      <w:pPr>
        <w:numPr>
          <w:ilvl w:val="0"/>
          <w:numId w:val="11"/>
        </w:numPr>
        <w:spacing w:line="276" w:lineRule="auto"/>
        <w:jc w:val="both"/>
        <w:textAlignment w:val="baseline"/>
        <w:rPr>
          <w:rFonts w:ascii="Ubuntu" w:hAnsi="Ubuntu"/>
          <w:b/>
          <w:bCs/>
          <w:sz w:val="18"/>
          <w:szCs w:val="18"/>
          <w:lang w:val="de-DE"/>
        </w:rPr>
      </w:pPr>
      <w:r w:rsidRPr="00812D59">
        <w:rPr>
          <w:rFonts w:ascii="Ubuntu" w:hAnsi="Ubuntu"/>
          <w:b/>
          <w:bCs/>
          <w:i/>
          <w:iCs/>
          <w:color w:val="000000"/>
          <w:sz w:val="18"/>
          <w:szCs w:val="18"/>
          <w:lang w:val="de-DE"/>
        </w:rPr>
        <w:t xml:space="preserve">33 </w:t>
      </w:r>
      <w:r w:rsidR="00810B1E">
        <w:rPr>
          <w:rFonts w:ascii="Ubuntu" w:hAnsi="Ubuntu"/>
          <w:b/>
          <w:bCs/>
          <w:i/>
          <w:iCs/>
          <w:color w:val="000000"/>
          <w:sz w:val="18"/>
          <w:szCs w:val="18"/>
          <w:lang w:val="de-DE"/>
        </w:rPr>
        <w:t>Prozent</w:t>
      </w:r>
      <w:r w:rsidRPr="00812D59">
        <w:rPr>
          <w:rFonts w:ascii="Ubuntu" w:hAnsi="Ubuntu"/>
          <w:b/>
          <w:bCs/>
          <w:i/>
          <w:iCs/>
          <w:color w:val="000000"/>
          <w:sz w:val="18"/>
          <w:szCs w:val="18"/>
          <w:lang w:val="de-DE"/>
        </w:rPr>
        <w:t xml:space="preserve"> der Unternehmen entwickeln aktiv eigene KI-Agenten, allerdings haben nur 10 </w:t>
      </w:r>
      <w:r w:rsidR="00810B1E">
        <w:rPr>
          <w:rFonts w:ascii="Ubuntu" w:hAnsi="Ubuntu"/>
          <w:b/>
          <w:bCs/>
          <w:i/>
          <w:iCs/>
          <w:color w:val="000000"/>
          <w:sz w:val="18"/>
          <w:szCs w:val="18"/>
          <w:lang w:val="de-DE"/>
        </w:rPr>
        <w:t>Prozent</w:t>
      </w:r>
      <w:r w:rsidRPr="00812D59">
        <w:rPr>
          <w:rFonts w:ascii="Ubuntu" w:hAnsi="Ubuntu"/>
          <w:b/>
          <w:bCs/>
          <w:i/>
          <w:iCs/>
          <w:color w:val="000000"/>
          <w:sz w:val="18"/>
          <w:szCs w:val="18"/>
          <w:lang w:val="de-DE"/>
        </w:rPr>
        <w:t xml:space="preserve"> diese in großem Umfang eingesetzt</w:t>
      </w:r>
    </w:p>
    <w:p w14:paraId="6E306732" w14:textId="115D5A7F" w:rsidR="003E21C0" w:rsidRPr="00812D59" w:rsidRDefault="003E21C0" w:rsidP="00577294">
      <w:pPr>
        <w:numPr>
          <w:ilvl w:val="0"/>
          <w:numId w:val="11"/>
        </w:numPr>
        <w:spacing w:line="276" w:lineRule="auto"/>
        <w:jc w:val="both"/>
        <w:rPr>
          <w:rFonts w:ascii="Ubuntu" w:hAnsi="Ubuntu"/>
          <w:b/>
          <w:bCs/>
          <w:sz w:val="18"/>
          <w:szCs w:val="18"/>
          <w:lang w:val="de-DE"/>
        </w:rPr>
      </w:pPr>
      <w:r w:rsidRPr="00812D59">
        <w:rPr>
          <w:rFonts w:ascii="Ubuntu" w:hAnsi="Ubuntu"/>
          <w:b/>
          <w:bCs/>
          <w:i/>
          <w:iCs/>
          <w:color w:val="000000"/>
          <w:sz w:val="18"/>
          <w:szCs w:val="18"/>
          <w:lang w:val="de-DE"/>
        </w:rPr>
        <w:t>Fast die Hälfte der Banken und Versicherungen schafft neue Arbeitsplätze zur Überwachung von KI-Agenten</w:t>
      </w:r>
    </w:p>
    <w:p w14:paraId="67510AD7" w14:textId="77777777" w:rsidR="001C66CD" w:rsidRPr="00812D59" w:rsidRDefault="001C66CD" w:rsidP="001C66CD">
      <w:pPr>
        <w:spacing w:line="276" w:lineRule="auto"/>
        <w:rPr>
          <w:rFonts w:ascii="Ubuntu" w:hAnsi="Ubuntu"/>
          <w:b/>
          <w:bCs/>
          <w:sz w:val="18"/>
          <w:szCs w:val="18"/>
          <w:lang w:val="de-DE"/>
        </w:rPr>
      </w:pPr>
    </w:p>
    <w:p w14:paraId="2B19BFEF" w14:textId="77777777" w:rsidR="001C66CD" w:rsidRPr="00812D59" w:rsidRDefault="001C66CD" w:rsidP="001C66CD">
      <w:pPr>
        <w:spacing w:line="276" w:lineRule="auto"/>
        <w:rPr>
          <w:rFonts w:ascii="Ubuntu" w:hAnsi="Ubuntu"/>
          <w:b/>
          <w:bCs/>
          <w:sz w:val="18"/>
          <w:szCs w:val="18"/>
          <w:lang w:val="de-DE"/>
        </w:rPr>
      </w:pPr>
    </w:p>
    <w:p w14:paraId="5726CF49" w14:textId="09E39A50" w:rsidR="00D914E5" w:rsidRPr="00812D59" w:rsidRDefault="00FF788B" w:rsidP="00D914E5">
      <w:pPr>
        <w:spacing w:line="312" w:lineRule="auto"/>
        <w:jc w:val="both"/>
        <w:rPr>
          <w:rFonts w:ascii="Ubuntu" w:hAnsi="Ubuntu" w:cstheme="majorBidi"/>
          <w:b/>
          <w:bCs/>
          <w:sz w:val="18"/>
          <w:szCs w:val="18"/>
          <w:lang w:val="de-DE"/>
        </w:rPr>
      </w:pPr>
      <w:r>
        <w:rPr>
          <w:rFonts w:ascii="Ubuntu" w:hAnsi="Ubuntu"/>
          <w:b/>
          <w:bCs/>
          <w:sz w:val="18"/>
          <w:szCs w:val="18"/>
          <w:lang w:val="de-DE"/>
        </w:rPr>
        <w:t>Wien</w:t>
      </w:r>
      <w:r w:rsidR="001C66CD" w:rsidRPr="00812D59">
        <w:rPr>
          <w:rFonts w:ascii="Ubuntu" w:hAnsi="Ubuntu"/>
          <w:b/>
          <w:bCs/>
          <w:sz w:val="18"/>
          <w:szCs w:val="18"/>
          <w:lang w:val="de-DE"/>
        </w:rPr>
        <w:t>,</w:t>
      </w:r>
      <w:r w:rsidR="0010215C" w:rsidRPr="00812D59">
        <w:rPr>
          <w:rFonts w:ascii="Ubuntu" w:hAnsi="Ubuntu"/>
          <w:b/>
          <w:bCs/>
          <w:sz w:val="18"/>
          <w:szCs w:val="18"/>
          <w:lang w:val="de-DE"/>
        </w:rPr>
        <w:t xml:space="preserve"> 1</w:t>
      </w:r>
      <w:r w:rsidR="00FA066D">
        <w:rPr>
          <w:rFonts w:ascii="Ubuntu" w:hAnsi="Ubuntu"/>
          <w:b/>
          <w:bCs/>
          <w:sz w:val="18"/>
          <w:szCs w:val="18"/>
          <w:lang w:val="de-DE"/>
        </w:rPr>
        <w:t>3</w:t>
      </w:r>
      <w:r w:rsidR="001C66CD" w:rsidRPr="00812D59">
        <w:rPr>
          <w:rFonts w:ascii="Ubuntu" w:hAnsi="Ubuntu"/>
          <w:b/>
          <w:bCs/>
          <w:sz w:val="18"/>
          <w:szCs w:val="18"/>
          <w:lang w:val="de-DE"/>
        </w:rPr>
        <w:t xml:space="preserve">. November 2025 – </w:t>
      </w:r>
      <w:r w:rsidR="00D914E5" w:rsidRPr="00812D59">
        <w:rPr>
          <w:rFonts w:ascii="Ubuntu" w:hAnsi="Ubuntu" w:cstheme="majorBidi"/>
          <w:b/>
          <w:bCs/>
          <w:sz w:val="18"/>
          <w:szCs w:val="18"/>
          <w:lang w:val="de-DE"/>
        </w:rPr>
        <w:t xml:space="preserve">Finanzinstitute verlagern wichtige kundenbezogene Prozesse aktiv auf KI-Agenten, was eine rasante Veränderung in der Art und Weise bedeutet, wie Kunden mit Banken und Versicherungen interagieren. Laut dem </w:t>
      </w:r>
      <w:hyperlink r:id="rId12" w:history="1">
        <w:r w:rsidR="00D914E5" w:rsidRPr="00850682">
          <w:rPr>
            <w:rStyle w:val="Hyperlink"/>
            <w:rFonts w:ascii="Ubuntu" w:hAnsi="Ubuntu" w:cstheme="majorBidi"/>
            <w:b/>
            <w:bCs/>
            <w:color w:val="0070C0"/>
            <w:sz w:val="18"/>
            <w:szCs w:val="18"/>
            <w:lang w:val="de-DE"/>
          </w:rPr>
          <w:t xml:space="preserve">World Cloud Report </w:t>
        </w:r>
        <w:r w:rsidR="00DE0762" w:rsidRPr="00850682">
          <w:rPr>
            <w:rStyle w:val="Hyperlink"/>
            <w:rFonts w:ascii="Ubuntu" w:hAnsi="Ubuntu" w:cstheme="majorBidi"/>
            <w:b/>
            <w:bCs/>
            <w:color w:val="0070C0"/>
            <w:sz w:val="18"/>
            <w:szCs w:val="18"/>
            <w:lang w:val="de-DE"/>
          </w:rPr>
          <w:t xml:space="preserve">in </w:t>
        </w:r>
        <w:r w:rsidR="00D914E5" w:rsidRPr="00850682">
          <w:rPr>
            <w:rStyle w:val="Hyperlink"/>
            <w:rFonts w:ascii="Ubuntu" w:hAnsi="Ubuntu" w:cstheme="majorBidi"/>
            <w:b/>
            <w:bCs/>
            <w:color w:val="0070C0"/>
            <w:sz w:val="18"/>
            <w:szCs w:val="18"/>
            <w:lang w:val="de-DE"/>
          </w:rPr>
          <w:t>Financial Services 2026</w:t>
        </w:r>
      </w:hyperlink>
      <w:r w:rsidR="00D914E5" w:rsidRPr="00812D59">
        <w:rPr>
          <w:rFonts w:ascii="Ubuntu" w:hAnsi="Ubuntu" w:cstheme="majorBidi"/>
          <w:b/>
          <w:bCs/>
          <w:sz w:val="18"/>
          <w:szCs w:val="18"/>
          <w:lang w:val="de-DE"/>
        </w:rPr>
        <w:t xml:space="preserve"> des </w:t>
      </w:r>
      <w:hyperlink r:id="rId13">
        <w:r w:rsidR="00D914E5" w:rsidRPr="00850682">
          <w:rPr>
            <w:rStyle w:val="Hyperlink"/>
            <w:rFonts w:ascii="Ubuntu" w:hAnsi="Ubuntu" w:cstheme="majorBidi"/>
            <w:b/>
            <w:bCs/>
            <w:color w:val="0070C0"/>
            <w:sz w:val="18"/>
            <w:szCs w:val="18"/>
            <w:lang w:val="de-DE"/>
          </w:rPr>
          <w:t>Capgemini</w:t>
        </w:r>
      </w:hyperlink>
      <w:r w:rsidR="00D914E5" w:rsidRPr="00812D59">
        <w:rPr>
          <w:rFonts w:ascii="Ubuntu" w:hAnsi="Ubuntu" w:cstheme="majorBidi"/>
          <w:b/>
          <w:bCs/>
          <w:sz w:val="18"/>
          <w:szCs w:val="18"/>
          <w:lang w:val="de-DE"/>
        </w:rPr>
        <w:t xml:space="preserve"> Research Institute gehören zu den wichtigsten Prozessen, für die Banken </w:t>
      </w:r>
      <w:r w:rsidR="00DB3097">
        <w:rPr>
          <w:rFonts w:ascii="Ubuntu" w:hAnsi="Ubuntu" w:cstheme="majorBidi"/>
          <w:b/>
          <w:bCs/>
          <w:sz w:val="18"/>
          <w:szCs w:val="18"/>
          <w:lang w:val="de-DE"/>
        </w:rPr>
        <w:t>c</w:t>
      </w:r>
      <w:r w:rsidR="00D914E5" w:rsidRPr="00812D59">
        <w:rPr>
          <w:rFonts w:ascii="Ubuntu" w:hAnsi="Ubuntu" w:cstheme="majorBidi"/>
          <w:b/>
          <w:bCs/>
          <w:sz w:val="18"/>
          <w:szCs w:val="18"/>
          <w:lang w:val="de-DE"/>
        </w:rPr>
        <w:t xml:space="preserve">loud-native KI-Agenten in großem Umfang einsetzen, Kundenservice (75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Betrugserkennung (64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Kreditbearbeitung (61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und Kunden-Onboarding (59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Bei den Versicherern zeigt sich ein ähnliches Muster: </w:t>
      </w:r>
      <w:r w:rsidR="00C6024F" w:rsidRPr="00812D59">
        <w:rPr>
          <w:rFonts w:ascii="Ubuntu" w:hAnsi="Ubuntu" w:cstheme="majorBidi"/>
          <w:b/>
          <w:bCs/>
          <w:sz w:val="18"/>
          <w:szCs w:val="18"/>
          <w:lang w:val="de-DE"/>
        </w:rPr>
        <w:t xml:space="preserve">Auch hier </w:t>
      </w:r>
      <w:r w:rsidR="00D914E5" w:rsidRPr="00812D59">
        <w:rPr>
          <w:rFonts w:ascii="Ubuntu" w:hAnsi="Ubuntu" w:cstheme="majorBidi"/>
          <w:b/>
          <w:bCs/>
          <w:sz w:val="18"/>
          <w:szCs w:val="18"/>
          <w:lang w:val="de-DE"/>
        </w:rPr>
        <w:t xml:space="preserve">steht der Kundenservice an erster Stelle (70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gefolgt von der Risikoprüfung (68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der Schadenbearbeitung (65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und der Kundengewinnung (59 </w:t>
      </w:r>
      <w:r w:rsidR="00810B1E">
        <w:rPr>
          <w:rFonts w:ascii="Ubuntu" w:hAnsi="Ubuntu" w:cstheme="majorBidi"/>
          <w:b/>
          <w:bCs/>
          <w:sz w:val="18"/>
          <w:szCs w:val="18"/>
          <w:lang w:val="de-DE"/>
        </w:rPr>
        <w:t>Prozent</w:t>
      </w:r>
      <w:r w:rsidR="00D914E5" w:rsidRPr="00812D59">
        <w:rPr>
          <w:rFonts w:ascii="Ubuntu" w:hAnsi="Ubuntu" w:cstheme="majorBidi"/>
          <w:b/>
          <w:bCs/>
          <w:sz w:val="18"/>
          <w:szCs w:val="18"/>
          <w:lang w:val="de-DE"/>
        </w:rPr>
        <w:t xml:space="preserve">) – insgesamt wird damit das Konzept neu definiert, was es bedeutet, Kunde eines Finanzdienstleisters zu sein. </w:t>
      </w:r>
    </w:p>
    <w:p w14:paraId="0E6CAE64" w14:textId="77777777" w:rsidR="001C66CD" w:rsidRPr="00812D59" w:rsidRDefault="001C66CD" w:rsidP="001C66CD">
      <w:pPr>
        <w:spacing w:line="312" w:lineRule="auto"/>
        <w:jc w:val="both"/>
        <w:rPr>
          <w:rFonts w:ascii="Ubuntu" w:hAnsi="Ubuntu"/>
          <w:b/>
          <w:bCs/>
          <w:sz w:val="18"/>
          <w:szCs w:val="18"/>
          <w:lang w:val="de-DE"/>
        </w:rPr>
      </w:pPr>
    </w:p>
    <w:p w14:paraId="24DB0DD8" w14:textId="46A1F594"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Aktuelle Daten des Capgemini Research Institute</w:t>
      </w:r>
      <w:r w:rsidR="00A34DDB" w:rsidRPr="006A2E9B">
        <w:rPr>
          <w:rFonts w:ascii="Ubuntu" w:hAnsi="Ubuntu" w:cstheme="majorBidi"/>
          <w:sz w:val="18"/>
          <w:szCs w:val="18"/>
          <w:vertAlign w:val="superscript"/>
        </w:rPr>
        <w:footnoteReference w:id="1"/>
      </w:r>
      <w:r w:rsidRPr="00812D59">
        <w:rPr>
          <w:rFonts w:ascii="Ubuntu" w:hAnsi="Ubuntu" w:cstheme="majorBidi"/>
          <w:sz w:val="18"/>
          <w:szCs w:val="18"/>
          <w:lang w:val="de-DE"/>
        </w:rPr>
        <w:t xml:space="preserve"> zeigen, dass KI-Agenten bis 2028 einen wirtschaftlichen Mehrwert von bis zu 450 Milliarden </w:t>
      </w:r>
      <w:r w:rsidRPr="00812D59">
        <w:rPr>
          <w:rFonts w:ascii="Ubuntu" w:hAnsi="Ubuntu"/>
          <w:sz w:val="18"/>
          <w:szCs w:val="18"/>
          <w:lang w:val="de-DE"/>
        </w:rPr>
        <w:t>US-Dollar</w:t>
      </w:r>
      <w:r w:rsidRPr="00812D59">
        <w:rPr>
          <w:rFonts w:ascii="Ubuntu" w:hAnsi="Ubuntu" w:cstheme="majorBidi"/>
          <w:sz w:val="18"/>
          <w:szCs w:val="18"/>
          <w:lang w:val="de-DE"/>
        </w:rPr>
        <w:t xml:space="preserve"> erzielen könnten, was auf die Chancen hinweist, die sich für die Finanzdienstleistungsbranche bieten. Um diese Chance zu nutzen, geben 33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der Banken an, dass sie eigene KI-Agenten intern entwickeln, während 48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der Finanzinstitute neue Stellen für Mitarbeiter schaffen, die die Agenten beaufsichtigen. </w:t>
      </w:r>
    </w:p>
    <w:p w14:paraId="02AEDB35" w14:textId="77777777" w:rsidR="00D914E5" w:rsidRPr="00812D59" w:rsidRDefault="00D914E5" w:rsidP="00D914E5">
      <w:pPr>
        <w:spacing w:line="312" w:lineRule="auto"/>
        <w:jc w:val="both"/>
        <w:rPr>
          <w:rFonts w:ascii="Ubuntu" w:hAnsi="Ubuntu" w:cstheme="majorBidi"/>
          <w:sz w:val="18"/>
          <w:szCs w:val="18"/>
          <w:lang w:val="de-DE"/>
        </w:rPr>
      </w:pPr>
    </w:p>
    <w:p w14:paraId="091C3B87" w14:textId="609BD18A"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Da KI-Agenten in der Lage sind, komplexe Arbeitsabläufe autonom zu verwalten, geht die Rolle der Cloud über die eines reinen Infrastruktur- oder Speicheranbieters hinaus. Fast zwei Drittel der Führungskräfte (61 </w:t>
      </w:r>
      <w:r w:rsidR="00810B1E">
        <w:rPr>
          <w:rFonts w:ascii="Ubuntu" w:hAnsi="Ubuntu" w:cstheme="majorBidi"/>
          <w:sz w:val="18"/>
          <w:szCs w:val="18"/>
          <w:lang w:val="de-DE"/>
        </w:rPr>
        <w:t>Prozent</w:t>
      </w:r>
      <w:r w:rsidRPr="00812D59">
        <w:rPr>
          <w:rFonts w:ascii="Ubuntu" w:hAnsi="Ubuntu" w:cstheme="majorBidi"/>
          <w:sz w:val="18"/>
          <w:szCs w:val="18"/>
          <w:lang w:val="de-DE"/>
        </w:rPr>
        <w:t>) betrachten cloudbasierte Orchestrierung mittlerweile als entscheidend für ihre KI-Strategie und verwandeln Cloud-Plattformen in Innovationsmotoren, mit denen Technologien schnell und in großem Umfang operationalisiert werden können.</w:t>
      </w:r>
    </w:p>
    <w:p w14:paraId="1B245129" w14:textId="77777777" w:rsidR="00D914E5" w:rsidRPr="00812D59" w:rsidRDefault="00D914E5" w:rsidP="00D914E5">
      <w:pPr>
        <w:spacing w:line="312" w:lineRule="auto"/>
        <w:jc w:val="both"/>
        <w:rPr>
          <w:rFonts w:ascii="Ubuntu" w:hAnsi="Ubuntu" w:cstheme="majorHAnsi"/>
          <w:sz w:val="18"/>
          <w:szCs w:val="18"/>
          <w:lang w:val="de-DE"/>
        </w:rPr>
      </w:pPr>
    </w:p>
    <w:p w14:paraId="5B4A5552" w14:textId="7E0705D0" w:rsidR="00D914E5" w:rsidRPr="00812D59" w:rsidRDefault="00D914E5" w:rsidP="00D914E5">
      <w:pPr>
        <w:spacing w:line="312" w:lineRule="auto"/>
        <w:jc w:val="both"/>
        <w:rPr>
          <w:rFonts w:ascii="Ubuntu" w:hAnsi="Ubuntu" w:cstheme="majorBidi"/>
          <w:i/>
          <w:iCs/>
          <w:sz w:val="18"/>
          <w:szCs w:val="18"/>
          <w:lang w:val="de-DE"/>
        </w:rPr>
      </w:pPr>
      <w:r w:rsidRPr="00812D59">
        <w:rPr>
          <w:rFonts w:ascii="Ubuntu" w:hAnsi="Ubuntu" w:cstheme="majorBidi"/>
          <w:i/>
          <w:iCs/>
          <w:sz w:val="18"/>
          <w:szCs w:val="18"/>
          <w:lang w:val="de-DE"/>
        </w:rPr>
        <w:t>„Die Kombination aus KI und Cloud ermöglicht es Banken und Versicherungen, die Leistungsfähigkeit von KI-Agenten</w:t>
      </w:r>
      <w:r w:rsidR="00B23F5C">
        <w:rPr>
          <w:rFonts w:ascii="Ubuntu" w:hAnsi="Ubuntu" w:cstheme="majorBidi"/>
          <w:i/>
          <w:iCs/>
          <w:sz w:val="18"/>
          <w:szCs w:val="18"/>
          <w:lang w:val="de-DE"/>
        </w:rPr>
        <w:t xml:space="preserve"> unmittelbar</w:t>
      </w:r>
      <w:r w:rsidRPr="00812D59">
        <w:rPr>
          <w:rFonts w:ascii="Ubuntu" w:hAnsi="Ubuntu" w:cstheme="majorBidi"/>
          <w:i/>
          <w:iCs/>
          <w:sz w:val="18"/>
          <w:szCs w:val="18"/>
          <w:lang w:val="de-DE"/>
        </w:rPr>
        <w:t xml:space="preserve"> zu nutzen, um ihre Kunden mit größerer Präzision, Geschwindigkeit und </w:t>
      </w:r>
      <w:r w:rsidR="00B23F5C">
        <w:rPr>
          <w:rFonts w:ascii="Ubuntu" w:hAnsi="Ubuntu" w:cstheme="majorBidi"/>
          <w:i/>
          <w:iCs/>
          <w:sz w:val="18"/>
          <w:szCs w:val="18"/>
          <w:lang w:val="de-DE"/>
        </w:rPr>
        <w:t>Mehrwert</w:t>
      </w:r>
      <w:r w:rsidR="00B23F5C" w:rsidRPr="00812D59">
        <w:rPr>
          <w:rFonts w:ascii="Ubuntu" w:hAnsi="Ubuntu" w:cstheme="majorBidi"/>
          <w:i/>
          <w:iCs/>
          <w:sz w:val="18"/>
          <w:szCs w:val="18"/>
          <w:lang w:val="de-DE"/>
        </w:rPr>
        <w:t xml:space="preserve"> </w:t>
      </w:r>
      <w:r w:rsidRPr="00812D59">
        <w:rPr>
          <w:rFonts w:ascii="Ubuntu" w:hAnsi="Ubuntu" w:cstheme="majorBidi"/>
          <w:i/>
          <w:iCs/>
          <w:sz w:val="18"/>
          <w:szCs w:val="18"/>
          <w:lang w:val="de-DE"/>
        </w:rPr>
        <w:t>zu bedienen“</w:t>
      </w:r>
      <w:r w:rsidRPr="00812D59">
        <w:rPr>
          <w:rFonts w:ascii="Ubuntu" w:hAnsi="Ubuntu" w:cstheme="majorBidi"/>
          <w:sz w:val="18"/>
          <w:szCs w:val="18"/>
          <w:lang w:val="de-DE"/>
        </w:rPr>
        <w:t xml:space="preserve">, </w:t>
      </w:r>
      <w:r w:rsidR="00141B5D">
        <w:rPr>
          <w:rFonts w:ascii="Ubuntu" w:hAnsi="Ubuntu" w:cstheme="majorBidi"/>
          <w:sz w:val="18"/>
          <w:szCs w:val="18"/>
          <w:lang w:val="de-DE"/>
        </w:rPr>
        <w:t>so</w:t>
      </w:r>
      <w:r w:rsidR="00FF788B">
        <w:rPr>
          <w:rFonts w:ascii="Ubuntu" w:hAnsi="Ubuntu" w:cstheme="majorBidi"/>
          <w:sz w:val="18"/>
          <w:szCs w:val="18"/>
          <w:lang w:val="de-DE"/>
        </w:rPr>
        <w:t xml:space="preserve"> </w:t>
      </w:r>
      <w:r w:rsidR="00C24066">
        <w:rPr>
          <w:rFonts w:ascii="Ubuntu" w:hAnsi="Ubuntu" w:cstheme="majorBidi"/>
          <w:sz w:val="18"/>
          <w:szCs w:val="18"/>
          <w:lang w:val="de-DE"/>
        </w:rPr>
        <w:t>Arun</w:t>
      </w:r>
      <w:r w:rsidR="00BE22D6">
        <w:rPr>
          <w:rFonts w:ascii="Ubuntu" w:hAnsi="Ubuntu" w:cstheme="majorBidi"/>
          <w:sz w:val="18"/>
          <w:szCs w:val="18"/>
          <w:lang w:val="de-DE"/>
        </w:rPr>
        <w:t xml:space="preserve"> </w:t>
      </w:r>
      <w:r w:rsidR="00BE22D6" w:rsidRPr="00FF788B">
        <w:rPr>
          <w:rFonts w:ascii="Ubuntu" w:hAnsi="Ubuntu" w:cstheme="majorBidi"/>
          <w:sz w:val="18"/>
          <w:szCs w:val="18"/>
        </w:rPr>
        <w:t>Varghese</w:t>
      </w:r>
      <w:r w:rsidR="00141B5D">
        <w:rPr>
          <w:rFonts w:ascii="Ubuntu" w:hAnsi="Ubuntu" w:cstheme="majorBidi"/>
          <w:sz w:val="18"/>
          <w:szCs w:val="18"/>
          <w:lang w:val="de-DE"/>
        </w:rPr>
        <w:t>,</w:t>
      </w:r>
      <w:r w:rsidR="005116A5">
        <w:rPr>
          <w:rFonts w:ascii="Ubuntu" w:hAnsi="Ubuntu" w:cstheme="majorBidi"/>
          <w:sz w:val="18"/>
          <w:szCs w:val="18"/>
          <w:lang w:val="de-DE"/>
        </w:rPr>
        <w:t xml:space="preserve"> </w:t>
      </w:r>
      <w:r w:rsidR="005116A5" w:rsidRPr="005116A5">
        <w:rPr>
          <w:rFonts w:ascii="Ubuntu" w:hAnsi="Ubuntu" w:cstheme="majorBidi"/>
          <w:sz w:val="18"/>
          <w:szCs w:val="18"/>
        </w:rPr>
        <w:t xml:space="preserve">Head of Practices </w:t>
      </w:r>
      <w:r w:rsidRPr="00812D59">
        <w:rPr>
          <w:rFonts w:ascii="Ubuntu" w:hAnsi="Ubuntu" w:cstheme="majorBidi"/>
          <w:sz w:val="18"/>
          <w:szCs w:val="18"/>
          <w:lang w:val="de-DE"/>
        </w:rPr>
        <w:t>bei Capgemini</w:t>
      </w:r>
      <w:r w:rsidR="00141B5D">
        <w:rPr>
          <w:rFonts w:ascii="Ubuntu" w:hAnsi="Ubuntu" w:cstheme="majorBidi"/>
          <w:sz w:val="18"/>
          <w:szCs w:val="18"/>
          <w:lang w:val="de-DE"/>
        </w:rPr>
        <w:t xml:space="preserve"> in </w:t>
      </w:r>
      <w:r w:rsidR="00C24066">
        <w:rPr>
          <w:rFonts w:ascii="Ubuntu" w:hAnsi="Ubuntu" w:cstheme="majorBidi"/>
          <w:sz w:val="18"/>
          <w:szCs w:val="18"/>
          <w:lang w:val="de-DE"/>
        </w:rPr>
        <w:t>Österreich</w:t>
      </w:r>
      <w:r w:rsidRPr="00812D59">
        <w:rPr>
          <w:rFonts w:ascii="Ubuntu" w:hAnsi="Ubuntu" w:cstheme="majorBidi"/>
          <w:sz w:val="18"/>
          <w:szCs w:val="18"/>
          <w:lang w:val="de-DE"/>
        </w:rPr>
        <w:t xml:space="preserve">. </w:t>
      </w:r>
      <w:r w:rsidRPr="00812D59">
        <w:rPr>
          <w:rFonts w:ascii="Ubuntu" w:hAnsi="Ubuntu" w:cstheme="majorBidi"/>
          <w:i/>
          <w:iCs/>
          <w:sz w:val="18"/>
          <w:szCs w:val="18"/>
          <w:lang w:val="de-DE"/>
        </w:rPr>
        <w:t xml:space="preserve">„Unsere Daten zeigen einen weit verbreiteten Optimismus in der Branche, dass das Zeitalter der </w:t>
      </w:r>
      <w:r w:rsidR="00526FA3">
        <w:rPr>
          <w:rFonts w:ascii="Ubuntu" w:hAnsi="Ubuntu" w:cstheme="majorBidi"/>
          <w:i/>
          <w:iCs/>
          <w:sz w:val="18"/>
          <w:szCs w:val="18"/>
          <w:lang w:val="de-DE"/>
        </w:rPr>
        <w:t>KI-</w:t>
      </w:r>
      <w:r w:rsidRPr="00812D59">
        <w:rPr>
          <w:rFonts w:ascii="Ubuntu" w:hAnsi="Ubuntu" w:cstheme="majorBidi"/>
          <w:i/>
          <w:iCs/>
          <w:sz w:val="18"/>
          <w:szCs w:val="18"/>
          <w:lang w:val="de-DE"/>
        </w:rPr>
        <w:t xml:space="preserve">Agenten neue Märkte erschließen und eine neue Phase der Transformation einläuten wird. Um dieses Potenzial auszuschöpfen, müssen Finanzinstitute eine langfristige Perspektive einnehmen, da Menschen mit Agenten zusammenarbeiten. Das bedeutet, Substanz von Hype zu trennen. Führungskräfte müssen überlegen, wie sie ihren KI-Agentenbetrieb im Laufe der Zeit skalieren können, und dabei eine Vision davon haben, wie ihr Unternehmen am Ende dieses Prozesses aussehen soll.“ </w:t>
      </w:r>
    </w:p>
    <w:p w14:paraId="4DB807AA" w14:textId="77777777" w:rsidR="00D914E5" w:rsidRPr="00812D59" w:rsidRDefault="00D914E5" w:rsidP="00D914E5">
      <w:pPr>
        <w:spacing w:line="312" w:lineRule="auto"/>
        <w:jc w:val="both"/>
        <w:rPr>
          <w:rFonts w:ascii="Ubuntu" w:hAnsi="Ubuntu" w:cstheme="majorBidi"/>
          <w:sz w:val="18"/>
          <w:szCs w:val="18"/>
          <w:lang w:val="de-DE"/>
        </w:rPr>
      </w:pPr>
    </w:p>
    <w:p w14:paraId="280AD0E3" w14:textId="37D616C7" w:rsidR="00D914E5" w:rsidRPr="00812D59" w:rsidRDefault="00902365" w:rsidP="00D914E5">
      <w:pPr>
        <w:spacing w:line="312" w:lineRule="auto"/>
        <w:jc w:val="both"/>
        <w:rPr>
          <w:rFonts w:ascii="Ubuntu" w:hAnsi="Ubuntu" w:cstheme="majorBidi"/>
          <w:b/>
          <w:bCs/>
          <w:sz w:val="18"/>
          <w:szCs w:val="18"/>
          <w:lang w:val="de-DE"/>
        </w:rPr>
      </w:pPr>
      <w:r w:rsidRPr="00812D59">
        <w:rPr>
          <w:rFonts w:ascii="Ubuntu" w:hAnsi="Ubuntu" w:cstheme="majorBidi"/>
          <w:b/>
          <w:bCs/>
          <w:sz w:val="18"/>
          <w:szCs w:val="18"/>
          <w:lang w:val="de-DE"/>
        </w:rPr>
        <w:t xml:space="preserve">Nur 10 </w:t>
      </w:r>
      <w:r w:rsidR="00810B1E">
        <w:rPr>
          <w:rFonts w:ascii="Ubuntu" w:hAnsi="Ubuntu" w:cstheme="majorBidi"/>
          <w:b/>
          <w:bCs/>
          <w:sz w:val="18"/>
          <w:szCs w:val="18"/>
          <w:lang w:val="de-DE"/>
        </w:rPr>
        <w:t>Prozent</w:t>
      </w:r>
      <w:r w:rsidRPr="00812D59">
        <w:rPr>
          <w:rFonts w:ascii="Ubuntu" w:hAnsi="Ubuntu" w:cstheme="majorBidi"/>
          <w:b/>
          <w:bCs/>
          <w:sz w:val="18"/>
          <w:szCs w:val="18"/>
          <w:lang w:val="de-DE"/>
        </w:rPr>
        <w:t xml:space="preserve"> der Unternehmen haben KI-Agenten in großem Umfang implementiert</w:t>
      </w:r>
    </w:p>
    <w:p w14:paraId="41FC5CEC" w14:textId="7BF34F51"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Die Einführung von KI-Agenten steht vor einem rasanten Wachstum, da sich 80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der Finanzdienstleistungsunternehmen in der Konzeptions- oder Pilotphase der Einführung befinden. Es gibt jedoch noch </w:t>
      </w:r>
      <w:r w:rsidRPr="00812D59">
        <w:rPr>
          <w:rFonts w:ascii="Ubuntu" w:hAnsi="Ubuntu" w:cstheme="majorBidi"/>
          <w:sz w:val="18"/>
          <w:szCs w:val="18"/>
          <w:lang w:val="de-DE"/>
        </w:rPr>
        <w:lastRenderedPageBreak/>
        <w:t xml:space="preserve">erhebliches Potenzial, da </w:t>
      </w:r>
      <w:r w:rsidR="00B23F5C">
        <w:rPr>
          <w:rFonts w:ascii="Ubuntu" w:hAnsi="Ubuntu" w:cstheme="majorBidi"/>
          <w:sz w:val="18"/>
          <w:szCs w:val="18"/>
          <w:lang w:val="de-DE"/>
        </w:rPr>
        <w:t>erst</w:t>
      </w:r>
      <w:r w:rsidR="00B23F5C" w:rsidRPr="00812D59">
        <w:rPr>
          <w:rFonts w:ascii="Ubuntu" w:hAnsi="Ubuntu" w:cstheme="majorBidi"/>
          <w:sz w:val="18"/>
          <w:szCs w:val="18"/>
          <w:lang w:val="de-DE"/>
        </w:rPr>
        <w:t xml:space="preserve"> </w:t>
      </w:r>
      <w:r w:rsidRPr="00812D59">
        <w:rPr>
          <w:rFonts w:ascii="Ubuntu" w:hAnsi="Ubuntu" w:cstheme="majorBidi"/>
          <w:sz w:val="18"/>
          <w:szCs w:val="18"/>
          <w:lang w:val="de-DE"/>
        </w:rPr>
        <w:t xml:space="preserve">10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der befragten Unternehmen KI-Agenten in großem Umfang implementiert haben. </w:t>
      </w:r>
    </w:p>
    <w:p w14:paraId="09859604" w14:textId="77777777" w:rsidR="00D914E5" w:rsidRPr="00812D59" w:rsidRDefault="00D914E5" w:rsidP="00D914E5">
      <w:pPr>
        <w:spacing w:line="312" w:lineRule="auto"/>
        <w:jc w:val="both"/>
        <w:rPr>
          <w:rFonts w:ascii="Ubuntu" w:hAnsi="Ubuntu" w:cstheme="majorBidi"/>
          <w:sz w:val="18"/>
          <w:szCs w:val="18"/>
          <w:lang w:val="de-DE"/>
        </w:rPr>
      </w:pPr>
    </w:p>
    <w:p w14:paraId="64D8C77B" w14:textId="2B818308"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Laut dem Bericht identifizieren Führungskräfte aus dem Bank- und Versicherungswesen die Kundengewinnung und „Know-Your-Customer“ (KYC), die Bearbeitung von Krediten und Schadensfällen sowie das Underwriting als die ineffizientesten Geschäftsfunktionen in der gesamten Branche.  Die Unternehmen sind optimistisch, dass agentenbasierte KI diese seit langem bestehenden Herausforderungen bewältigen kann. Als wesentliche Vorteile werden dabei die Entscheidungsfindung in Echtzeit (96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eine verbesserte Genauigkeit (91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und schnellere Durchlaufzeiten (89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genannt. </w:t>
      </w:r>
    </w:p>
    <w:p w14:paraId="49D80551" w14:textId="77777777" w:rsidR="000C3B96" w:rsidRPr="00812D59" w:rsidRDefault="000C3B96" w:rsidP="00D914E5">
      <w:pPr>
        <w:spacing w:line="312" w:lineRule="auto"/>
        <w:jc w:val="both"/>
        <w:rPr>
          <w:rFonts w:ascii="Ubuntu" w:hAnsi="Ubuntu" w:cstheme="majorBidi"/>
          <w:sz w:val="18"/>
          <w:szCs w:val="18"/>
          <w:lang w:val="de-DE"/>
        </w:rPr>
      </w:pPr>
    </w:p>
    <w:p w14:paraId="6B69A414" w14:textId="77777777"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Über die Effizienzsteigerungen hinaus sehen Führungskräfte in KI-Agenten die Möglichkeit, echte Geschäftsergebnisse zu erzielen:</w:t>
      </w:r>
    </w:p>
    <w:p w14:paraId="4EC890C5" w14:textId="48E2AB66" w:rsidR="00D914E5" w:rsidRPr="00812D59" w:rsidRDefault="00D914E5" w:rsidP="00D914E5">
      <w:pPr>
        <w:pStyle w:val="Listenabsatz"/>
        <w:numPr>
          <w:ilvl w:val="0"/>
          <w:numId w:val="12"/>
        </w:numPr>
        <w:spacing w:line="312" w:lineRule="auto"/>
        <w:jc w:val="both"/>
        <w:rPr>
          <w:rFonts w:cstheme="majorBidi"/>
          <w:szCs w:val="18"/>
          <w:lang w:val="de-DE"/>
        </w:rPr>
      </w:pPr>
      <w:r w:rsidRPr="00812D59">
        <w:rPr>
          <w:rFonts w:cstheme="majorBidi"/>
          <w:szCs w:val="18"/>
          <w:lang w:val="de-DE"/>
        </w:rPr>
        <w:t xml:space="preserve">92 </w:t>
      </w:r>
      <w:r w:rsidR="00810B1E">
        <w:rPr>
          <w:rFonts w:cstheme="majorBidi"/>
          <w:szCs w:val="18"/>
          <w:lang w:val="de-DE"/>
        </w:rPr>
        <w:t>Prozent</w:t>
      </w:r>
      <w:r w:rsidRPr="00812D59">
        <w:rPr>
          <w:rFonts w:cstheme="majorBidi"/>
          <w:szCs w:val="18"/>
          <w:lang w:val="de-DE"/>
        </w:rPr>
        <w:t xml:space="preserve"> geben an, dass KI-Agenten ihnen helfen werden, ohne hohe Vorabinvestitionen in die Infrastruktur in neue Regionen zu expandieren.</w:t>
      </w:r>
    </w:p>
    <w:p w14:paraId="7F66B8FE" w14:textId="0EAE984B" w:rsidR="00D914E5" w:rsidRPr="00812D59" w:rsidRDefault="00D914E5" w:rsidP="00D914E5">
      <w:pPr>
        <w:pStyle w:val="Listenabsatz"/>
        <w:numPr>
          <w:ilvl w:val="0"/>
          <w:numId w:val="12"/>
        </w:numPr>
        <w:spacing w:line="312" w:lineRule="auto"/>
        <w:jc w:val="both"/>
        <w:rPr>
          <w:rFonts w:cstheme="majorHAnsi"/>
          <w:szCs w:val="18"/>
          <w:lang w:val="de-DE"/>
        </w:rPr>
      </w:pPr>
      <w:r w:rsidRPr="00812D59">
        <w:rPr>
          <w:rFonts w:cstheme="majorHAnsi"/>
          <w:szCs w:val="18"/>
          <w:lang w:val="de-DE"/>
        </w:rPr>
        <w:t xml:space="preserve">79 </w:t>
      </w:r>
      <w:r w:rsidR="00810B1E">
        <w:rPr>
          <w:rFonts w:cstheme="majorHAnsi"/>
          <w:szCs w:val="18"/>
          <w:lang w:val="de-DE"/>
        </w:rPr>
        <w:t>Prozent</w:t>
      </w:r>
      <w:r w:rsidRPr="00812D59">
        <w:rPr>
          <w:rFonts w:cstheme="majorHAnsi"/>
          <w:szCs w:val="18"/>
          <w:lang w:val="de-DE"/>
        </w:rPr>
        <w:t xml:space="preserve"> glauben, dass Cloud-native KI-Agenten dynamische Preisgestaltung und Angebote ermöglichen, wodurch der Umsatz maximiert und Wettbewerber ausgestochen werden können.</w:t>
      </w:r>
    </w:p>
    <w:p w14:paraId="22D3E9E7" w14:textId="345AC260" w:rsidR="00D914E5" w:rsidRPr="00812D59" w:rsidRDefault="00D914E5" w:rsidP="00D914E5">
      <w:pPr>
        <w:pStyle w:val="Listenabsatz"/>
        <w:numPr>
          <w:ilvl w:val="0"/>
          <w:numId w:val="12"/>
        </w:numPr>
        <w:spacing w:line="312" w:lineRule="auto"/>
        <w:jc w:val="both"/>
        <w:rPr>
          <w:rFonts w:cstheme="majorHAnsi"/>
          <w:szCs w:val="18"/>
          <w:lang w:val="de-DE"/>
        </w:rPr>
      </w:pPr>
      <w:r w:rsidRPr="00812D59">
        <w:rPr>
          <w:rFonts w:cstheme="majorHAnsi"/>
          <w:szCs w:val="18"/>
          <w:lang w:val="de-DE"/>
        </w:rPr>
        <w:t xml:space="preserve">75 </w:t>
      </w:r>
      <w:r w:rsidR="00810B1E">
        <w:rPr>
          <w:rFonts w:cstheme="majorHAnsi"/>
          <w:szCs w:val="18"/>
          <w:lang w:val="de-DE"/>
        </w:rPr>
        <w:t>Prozent</w:t>
      </w:r>
      <w:r w:rsidRPr="00812D59">
        <w:rPr>
          <w:rFonts w:cstheme="majorHAnsi"/>
          <w:szCs w:val="18"/>
          <w:lang w:val="de-DE"/>
        </w:rPr>
        <w:t xml:space="preserve"> sehen eine Chance für die Bereitstellung eines mehrsprachigen Supports, der sich an lokale Vorschriften und kulturelle Normen anpasst.</w:t>
      </w:r>
    </w:p>
    <w:p w14:paraId="36C0FFB0" w14:textId="77777777" w:rsidR="00D914E5" w:rsidRPr="00812D59" w:rsidRDefault="00D914E5" w:rsidP="00D914E5">
      <w:pPr>
        <w:spacing w:line="312" w:lineRule="auto"/>
        <w:jc w:val="both"/>
        <w:rPr>
          <w:rFonts w:ascii="Ubuntu" w:hAnsi="Ubuntu" w:cstheme="majorBidi"/>
          <w:sz w:val="18"/>
          <w:szCs w:val="18"/>
          <w:lang w:val="de-DE"/>
        </w:rPr>
      </w:pPr>
    </w:p>
    <w:p w14:paraId="251DC254" w14:textId="0B4963F4"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Angesichts des immensen Potenzials, das sich daraus für das gesamte Unternehmen ergibt, richten Führungskräfte ihre Investitionen entsprechend aus: Fast zwei Drittel der Führungskräfte geben an, dass bis zu 40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des Budgets ihrer Organisation für generative KI heute speziell für Agententechnologien vorgesehen sind. Bis 2028 rechnet jedes vierte Unternehmen mit einer Steigerung seiner Ausgaben für KI-Agentenlösungen um bis zu 60 </w:t>
      </w:r>
      <w:r w:rsidR="00810B1E">
        <w:rPr>
          <w:rFonts w:ascii="Ubuntu" w:hAnsi="Ubuntu" w:cstheme="majorBidi"/>
          <w:sz w:val="18"/>
          <w:szCs w:val="18"/>
          <w:lang w:val="de-DE"/>
        </w:rPr>
        <w:t>Prozent</w:t>
      </w:r>
      <w:r w:rsidRPr="00812D59">
        <w:rPr>
          <w:rFonts w:ascii="Ubuntu" w:hAnsi="Ubuntu" w:cstheme="majorBidi"/>
          <w:sz w:val="18"/>
          <w:szCs w:val="18"/>
          <w:lang w:val="de-DE"/>
        </w:rPr>
        <w:t>.</w:t>
      </w:r>
    </w:p>
    <w:p w14:paraId="01B4DD9F" w14:textId="77777777" w:rsidR="00D914E5" w:rsidRPr="00812D59" w:rsidRDefault="00D914E5" w:rsidP="00D914E5">
      <w:pPr>
        <w:spacing w:line="312" w:lineRule="auto"/>
        <w:jc w:val="both"/>
        <w:rPr>
          <w:rFonts w:ascii="Ubuntu" w:hAnsi="Ubuntu" w:cstheme="majorBidi"/>
          <w:sz w:val="18"/>
          <w:szCs w:val="18"/>
          <w:lang w:val="de-DE"/>
        </w:rPr>
      </w:pPr>
    </w:p>
    <w:p w14:paraId="12A6CCB8" w14:textId="77777777" w:rsidR="00D914E5" w:rsidRPr="00812D59" w:rsidRDefault="00D914E5" w:rsidP="00D914E5">
      <w:pPr>
        <w:spacing w:line="312" w:lineRule="auto"/>
        <w:jc w:val="both"/>
        <w:rPr>
          <w:rFonts w:ascii="Ubuntu" w:hAnsi="Ubuntu" w:cstheme="majorBidi"/>
          <w:b/>
          <w:bCs/>
          <w:sz w:val="18"/>
          <w:szCs w:val="18"/>
          <w:lang w:val="de-DE"/>
        </w:rPr>
      </w:pPr>
      <w:r w:rsidRPr="00812D59">
        <w:rPr>
          <w:rFonts w:ascii="Ubuntu" w:hAnsi="Ubuntu" w:cstheme="majorBidi"/>
          <w:b/>
          <w:bCs/>
          <w:sz w:val="18"/>
          <w:szCs w:val="18"/>
          <w:lang w:val="de-DE"/>
        </w:rPr>
        <w:t>Banken stehen vor anhaltenden Herausforderungen bei der Einführung</w:t>
      </w:r>
    </w:p>
    <w:p w14:paraId="24086BEA" w14:textId="6E66A0C6"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Während Finanzinstitute die Einführung von generativer KI und KI-Agenten vorantreiben, weisen fast alle Führungskräfte einstimmig auf zwei entscheidende Hindernisse hin: eine drohende Qualifikationslücke bei Führungskräften und Mitarbeitern (92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sowie regulatorische und Compliance-Auflagen (96 </w:t>
      </w:r>
      <w:r w:rsidR="00810B1E">
        <w:rPr>
          <w:rFonts w:ascii="Ubuntu" w:hAnsi="Ubuntu" w:cstheme="majorBidi"/>
          <w:sz w:val="18"/>
          <w:szCs w:val="18"/>
          <w:lang w:val="de-DE"/>
        </w:rPr>
        <w:t>Prozent</w:t>
      </w:r>
      <w:r w:rsidRPr="00812D59">
        <w:rPr>
          <w:rFonts w:ascii="Ubuntu" w:hAnsi="Ubuntu" w:cstheme="majorBidi"/>
          <w:sz w:val="18"/>
          <w:szCs w:val="18"/>
          <w:lang w:val="de-DE"/>
        </w:rPr>
        <w:t xml:space="preserve">). Die meisten Führungskräfte (89 </w:t>
      </w:r>
      <w:r w:rsidR="00810B1E">
        <w:rPr>
          <w:rFonts w:ascii="Ubuntu" w:hAnsi="Ubuntu" w:cstheme="majorBidi"/>
          <w:sz w:val="18"/>
          <w:szCs w:val="18"/>
          <w:lang w:val="de-DE"/>
        </w:rPr>
        <w:t>Prozent</w:t>
      </w:r>
      <w:r w:rsidRPr="00812D59">
        <w:rPr>
          <w:rFonts w:ascii="Ubuntu" w:hAnsi="Ubuntu" w:cstheme="majorBidi"/>
          <w:sz w:val="18"/>
          <w:szCs w:val="18"/>
          <w:lang w:val="de-DE"/>
        </w:rPr>
        <w:t>) äußern sich zwar besorgt über die Komplexität der Verwaltung regionalspezifischer regulatorischer Vorgaben, setzen jedoch gleichzeitig die Compliance in den nächsten drei Jahren ganz oben auf die Prioritätenliste ihres Unternehmens.</w:t>
      </w:r>
    </w:p>
    <w:p w14:paraId="7220BBE8" w14:textId="77777777" w:rsidR="00D914E5" w:rsidRPr="00812D59" w:rsidRDefault="00D914E5" w:rsidP="00D914E5">
      <w:pPr>
        <w:spacing w:line="312" w:lineRule="auto"/>
        <w:jc w:val="both"/>
        <w:rPr>
          <w:rFonts w:ascii="Ubuntu" w:hAnsi="Ubuntu" w:cstheme="majorHAnsi"/>
          <w:sz w:val="18"/>
          <w:szCs w:val="18"/>
          <w:lang w:val="de-DE"/>
        </w:rPr>
      </w:pPr>
    </w:p>
    <w:p w14:paraId="6CD5B38E" w14:textId="235C39F6" w:rsidR="00D914E5" w:rsidRPr="00812D59" w:rsidRDefault="00D914E5" w:rsidP="00D914E5">
      <w:pPr>
        <w:spacing w:line="312" w:lineRule="auto"/>
        <w:jc w:val="both"/>
        <w:rPr>
          <w:rFonts w:ascii="Ubuntu" w:hAnsi="Ubuntu" w:cstheme="majorBidi"/>
          <w:sz w:val="18"/>
          <w:szCs w:val="18"/>
          <w:lang w:val="de-DE"/>
        </w:rPr>
      </w:pPr>
      <w:r w:rsidRPr="00812D59">
        <w:rPr>
          <w:rFonts w:ascii="Ubuntu" w:hAnsi="Ubuntu" w:cstheme="majorBidi"/>
          <w:sz w:val="18"/>
          <w:szCs w:val="18"/>
          <w:lang w:val="de-DE"/>
        </w:rPr>
        <w:t xml:space="preserve">Hohe Implementierungskosten stellen ebenfalls ein Hindernis für die Erzielung realer Renditen aus KI-Investitionen dar. Eine wachsende Zahl von Unternehmen (25 </w:t>
      </w:r>
      <w:r w:rsidR="00810B1E">
        <w:rPr>
          <w:rFonts w:ascii="Ubuntu" w:hAnsi="Ubuntu" w:cstheme="majorBidi"/>
          <w:sz w:val="18"/>
          <w:szCs w:val="18"/>
          <w:lang w:val="de-DE"/>
        </w:rPr>
        <w:t>Prozent</w:t>
      </w:r>
      <w:r w:rsidRPr="00812D59">
        <w:rPr>
          <w:rFonts w:ascii="Ubuntu" w:hAnsi="Ubuntu" w:cstheme="majorBidi"/>
          <w:sz w:val="18"/>
          <w:szCs w:val="18"/>
          <w:lang w:val="de-DE"/>
        </w:rPr>
        <w:t>) neigt dazu, in den nächsten 12 bis 18 Monaten auf das Service-as-a-Software-</w:t>
      </w:r>
      <w:r w:rsidR="008052C7">
        <w:rPr>
          <w:rStyle w:val="Funotenzeichen"/>
          <w:rFonts w:ascii="Ubuntu" w:hAnsi="Ubuntu" w:cstheme="majorBidi"/>
          <w:sz w:val="18"/>
          <w:szCs w:val="18"/>
        </w:rPr>
        <w:footnoteReference w:id="2"/>
      </w:r>
      <w:r w:rsidRPr="00812D59">
        <w:rPr>
          <w:rFonts w:ascii="Ubuntu" w:hAnsi="Ubuntu" w:cstheme="majorBidi"/>
          <w:sz w:val="18"/>
          <w:szCs w:val="18"/>
          <w:lang w:val="de-DE"/>
        </w:rPr>
        <w:t xml:space="preserve"> -Modell umzusteigen und damit einen neuen Ansatz für die Nutzung und Monetarisierung von KI zu verfolgen. Anstatt für Lizenzen und Infrastruktur zu bezahlen, werden Unternehmen für Ergebnisse wie aufgeklärte Betrugsfälle, abgewickelte Transaktionen oder bearbeitete Kundenanfragen bezahlen.</w:t>
      </w:r>
    </w:p>
    <w:p w14:paraId="5D564D97" w14:textId="77777777" w:rsidR="00D914E5" w:rsidRPr="00812D59" w:rsidRDefault="00D914E5" w:rsidP="00D914E5">
      <w:pPr>
        <w:spacing w:line="312" w:lineRule="auto"/>
        <w:jc w:val="both"/>
        <w:rPr>
          <w:rFonts w:ascii="Ubuntu" w:hAnsi="Ubuntu" w:cstheme="majorBidi"/>
          <w:sz w:val="18"/>
          <w:szCs w:val="18"/>
          <w:lang w:val="de-DE"/>
        </w:rPr>
      </w:pPr>
    </w:p>
    <w:p w14:paraId="52EB6F33" w14:textId="79EC7D35" w:rsidR="00D914E5" w:rsidRDefault="00D914E5" w:rsidP="00D914E5">
      <w:pPr>
        <w:pStyle w:val="null"/>
        <w:spacing w:before="0" w:beforeAutospacing="0" w:after="0" w:afterAutospacing="0" w:line="312" w:lineRule="auto"/>
        <w:jc w:val="both"/>
      </w:pPr>
      <w:r w:rsidRPr="00812D59">
        <w:rPr>
          <w:rFonts w:ascii="Ubuntu" w:hAnsi="Ubuntu" w:cs="Arial"/>
          <w:sz w:val="18"/>
          <w:szCs w:val="18"/>
          <w:lang w:val="de-DE"/>
        </w:rPr>
        <w:t>Lesen Sie d</w:t>
      </w:r>
      <w:r w:rsidR="006F7262">
        <w:rPr>
          <w:rFonts w:ascii="Ubuntu" w:hAnsi="Ubuntu" w:cs="Arial"/>
          <w:sz w:val="18"/>
          <w:szCs w:val="18"/>
          <w:lang w:val="de-DE"/>
        </w:rPr>
        <w:t>ie</w:t>
      </w:r>
      <w:r w:rsidRPr="00812D59">
        <w:rPr>
          <w:rFonts w:ascii="Ubuntu" w:hAnsi="Ubuntu" w:cs="Arial"/>
          <w:sz w:val="18"/>
          <w:szCs w:val="18"/>
          <w:lang w:val="de-DE"/>
        </w:rPr>
        <w:t xml:space="preserve"> vollständige </w:t>
      </w:r>
      <w:r w:rsidR="006F7262">
        <w:rPr>
          <w:rFonts w:ascii="Ubuntu" w:hAnsi="Ubuntu" w:cs="Arial"/>
          <w:sz w:val="18"/>
          <w:szCs w:val="18"/>
          <w:lang w:val="de-DE"/>
        </w:rPr>
        <w:t>Studie unter</w:t>
      </w:r>
      <w:r w:rsidRPr="00812D59">
        <w:rPr>
          <w:rFonts w:ascii="Ubuntu" w:hAnsi="Ubuntu" w:cs="Arial"/>
          <w:sz w:val="18"/>
          <w:szCs w:val="18"/>
          <w:lang w:val="de-DE"/>
        </w:rPr>
        <w:t xml:space="preserve">: </w:t>
      </w:r>
      <w:hyperlink r:id="rId14" w:history="1">
        <w:r w:rsidR="00A26151" w:rsidRPr="00850682">
          <w:rPr>
            <w:rStyle w:val="Hyperlink"/>
            <w:rFonts w:ascii="Ubuntu" w:hAnsi="Ubuntu" w:cs="Arial"/>
            <w:color w:val="0070C0"/>
            <w:sz w:val="18"/>
            <w:szCs w:val="18"/>
            <w:lang w:val="de-DE"/>
          </w:rPr>
          <w:t>From process automation to industry reimagination</w:t>
        </w:r>
      </w:hyperlink>
    </w:p>
    <w:p w14:paraId="1AE12B20" w14:textId="77777777" w:rsidR="00B57BD3" w:rsidRDefault="00B57BD3" w:rsidP="00D914E5">
      <w:pPr>
        <w:pStyle w:val="null"/>
        <w:spacing w:before="0" w:beforeAutospacing="0" w:after="0" w:afterAutospacing="0" w:line="312" w:lineRule="auto"/>
        <w:jc w:val="both"/>
      </w:pPr>
    </w:p>
    <w:p w14:paraId="357FDBA1" w14:textId="13D1CD18" w:rsidR="00B57BD3" w:rsidRPr="00812D59" w:rsidRDefault="00B57BD3" w:rsidP="00D914E5">
      <w:pPr>
        <w:pStyle w:val="null"/>
        <w:spacing w:before="0" w:beforeAutospacing="0" w:after="0" w:afterAutospacing="0" w:line="312" w:lineRule="auto"/>
        <w:jc w:val="both"/>
        <w:rPr>
          <w:rFonts w:ascii="Ubuntu" w:hAnsi="Ubuntu" w:cs="Arial"/>
          <w:sz w:val="18"/>
          <w:szCs w:val="18"/>
          <w:lang w:val="de-DE"/>
        </w:rPr>
      </w:pPr>
      <w:r w:rsidRPr="00B57BD3">
        <w:rPr>
          <w:rFonts w:ascii="Ubuntu" w:hAnsi="Ubuntu" w:cs="Arial"/>
          <w:sz w:val="18"/>
          <w:szCs w:val="18"/>
          <w:lang w:val="de-DE"/>
        </w:rPr>
        <w:t>Bildrechte: Capgemini</w:t>
      </w:r>
    </w:p>
    <w:p w14:paraId="14CB8A5B" w14:textId="77777777" w:rsidR="001C66CD" w:rsidRPr="00812D59" w:rsidRDefault="001C66CD" w:rsidP="001C66CD">
      <w:pPr>
        <w:jc w:val="both"/>
        <w:rPr>
          <w:rStyle w:val="null1"/>
          <w:rFonts w:ascii="Ubuntu" w:eastAsia="Verdana" w:hAnsi="Ubuntu" w:cs="Verdana"/>
          <w:color w:val="000000" w:themeColor="text1"/>
          <w:sz w:val="22"/>
          <w:szCs w:val="22"/>
          <w:lang w:val="de-DE"/>
        </w:rPr>
      </w:pPr>
    </w:p>
    <w:p w14:paraId="0A024F20" w14:textId="2DD55F46" w:rsidR="00D914E5" w:rsidRPr="008F3BDD" w:rsidRDefault="00A94C13" w:rsidP="008F3BDD">
      <w:pPr>
        <w:rPr>
          <w:rStyle w:val="BodyTextUbuntu9pt"/>
          <w:b/>
          <w:bCs/>
          <w:lang w:val="de-DE"/>
        </w:rPr>
      </w:pPr>
      <w:r w:rsidRPr="008F3BDD">
        <w:rPr>
          <w:rStyle w:val="BodyTextUbuntu9pt"/>
          <w:lang w:val="de-DE"/>
        </w:rPr>
        <w:t xml:space="preserve">Über die Studie </w:t>
      </w:r>
    </w:p>
    <w:p w14:paraId="008537ED" w14:textId="0EEBF6F8" w:rsidR="00AE08BC" w:rsidRPr="00812D59" w:rsidRDefault="0010215C" w:rsidP="001C66CD">
      <w:pPr>
        <w:jc w:val="both"/>
        <w:rPr>
          <w:rStyle w:val="null1"/>
          <w:rFonts w:ascii="Ubuntu" w:eastAsia="Verdana" w:hAnsi="Ubuntu" w:cs="Verdana"/>
          <w:color w:val="000000" w:themeColor="text1"/>
          <w:sz w:val="22"/>
          <w:szCs w:val="22"/>
          <w:lang w:val="de-DE"/>
        </w:rPr>
      </w:pPr>
      <w:r w:rsidRPr="00812D59">
        <w:rPr>
          <w:rFonts w:ascii="Ubuntu" w:hAnsi="Ubuntu"/>
          <w:sz w:val="18"/>
          <w:szCs w:val="18"/>
          <w:lang w:val="de-DE"/>
        </w:rPr>
        <w:t>Der World Cloud Report for Financial Services 2026 stützt sich auf Daten aus zwei Hauptquellen: der Global Financial Services Executive Survey, die im Juni und Juli 2025 durchgeführt wurde, und den Global Executive Interviews, die von Juni bis September 2025 stattfanden. Im Rahmen dieser primären Forschungsquellen wurden 1.100 Führungskräfte von Finanzinstituten (darunter CXOs und Cloud-Verantwortliche) zur Entwicklung der KI im Finanzdienstleistungssektor und zur sich wandelnden Rolle von Cloud-Plattformen befragt. Darüber hinaus wurden 40 zusätzliche Fokusinterviews durchgeführt. Die Befragten repräsentieren 14 Märkte aus allen drei Regionen der Welt: Amerika (Kanada und USA), Europa (Belgien, Frankreich, Deutschland, Luxemburg, Niederlande, Polen, Spanien und Großbritannien) und APAC (Australien, Hongkong, Japan und Vereinigte Arabische Emirate).</w:t>
      </w:r>
    </w:p>
    <w:p w14:paraId="6EF5A3B8" w14:textId="77777777" w:rsidR="00AE08BC" w:rsidRPr="00812D59" w:rsidRDefault="00AE08BC" w:rsidP="001C66CD">
      <w:pPr>
        <w:jc w:val="both"/>
        <w:rPr>
          <w:rStyle w:val="null1"/>
          <w:rFonts w:ascii="Ubuntu" w:eastAsia="Verdana" w:hAnsi="Ubuntu" w:cs="Verdana"/>
          <w:color w:val="000000" w:themeColor="text1"/>
          <w:sz w:val="22"/>
          <w:szCs w:val="22"/>
          <w:lang w:val="de-DE"/>
        </w:rPr>
      </w:pPr>
    </w:p>
    <w:p w14:paraId="66C9DDA2" w14:textId="77777777" w:rsidR="00EC70D8" w:rsidRPr="00E93556" w:rsidRDefault="00EC70D8" w:rsidP="00EC70D8">
      <w:pPr>
        <w:rPr>
          <w:rStyle w:val="BodyTextUbuntu9pt"/>
          <w:b/>
          <w:bCs/>
          <w:lang w:val="de-DE"/>
        </w:rPr>
      </w:pPr>
      <w:bookmarkStart w:id="0" w:name="_Hlk64986169"/>
      <w:r w:rsidRPr="00E93556">
        <w:rPr>
          <w:rStyle w:val="BodyTextUbuntu9pt"/>
          <w:b/>
          <w:bCs/>
          <w:lang w:val="de-DE"/>
        </w:rPr>
        <w:t>Über Capgemini</w:t>
      </w:r>
    </w:p>
    <w:p w14:paraId="6948869C" w14:textId="77777777" w:rsidR="00EC70D8" w:rsidRPr="00E93556" w:rsidRDefault="00EC70D8" w:rsidP="00EC70D8">
      <w:pPr>
        <w:rPr>
          <w:rStyle w:val="BodyTextUbuntu9pt"/>
          <w:b/>
          <w:bCs/>
          <w:lang w:val="de-DE"/>
        </w:rPr>
      </w:pPr>
    </w:p>
    <w:p w14:paraId="1E610B0E" w14:textId="77777777" w:rsidR="00EC70D8" w:rsidRPr="00E93556" w:rsidRDefault="00EC70D8" w:rsidP="00EC70D8">
      <w:pPr>
        <w:rPr>
          <w:rStyle w:val="BodyTextUbuntu9pt"/>
          <w:lang w:val="de-DE"/>
        </w:rPr>
      </w:pPr>
      <w:r w:rsidRPr="00E93556">
        <w:rPr>
          <w:rStyle w:val="BodyTextUbuntu9pt"/>
          <w:lang w:val="de-DE"/>
        </w:rPr>
        <w:t>Capgemini ist ein globaler Partner für die KI-gestützte Geschäfts- sowie Technologietransformation. Im Zusammenspiel von KI, Technologie und Mensch schafft das Unternehmen einen messbaren Mehrwert für seine Kunden und lässt die Zukunft von Organisationen Realität werden. Seit fast 60 Jahren ist Capgemini ein verantwortungsbewusstes und multikulturelles Unternehmen mit 420.000 Mitarbeitenden in über 50 Ländern. Das End-to-End-Leistungsspektrum gründet auf einem umfangreichen Branchen-Know-how, einem Partner-Ökosystem sowie Expertise in den Bereichen Strategie, Technologie, Design, Engineering und Operations. Die Gruppe erzielte 2024 einen weltweiten Umsatz von 22,1 Milliarden Euro.</w:t>
      </w:r>
    </w:p>
    <w:p w14:paraId="0BF1DFA5" w14:textId="77777777" w:rsidR="00EC70D8" w:rsidRPr="00E93556" w:rsidRDefault="00EC70D8" w:rsidP="00EC70D8">
      <w:pPr>
        <w:rPr>
          <w:rStyle w:val="BodyTextUbuntu9pt"/>
          <w:lang w:val="de-DE"/>
        </w:rPr>
      </w:pPr>
    </w:p>
    <w:p w14:paraId="591D8253" w14:textId="51209CDA" w:rsidR="00EC70D8" w:rsidRDefault="00EC70D8" w:rsidP="00EC70D8">
      <w:r w:rsidRPr="00E93556">
        <w:rPr>
          <w:rStyle w:val="BodyTextUbuntu9pt"/>
          <w:b/>
          <w:bCs/>
          <w:lang w:val="de-DE"/>
        </w:rPr>
        <w:t>Make it real</w:t>
      </w:r>
      <w:r w:rsidRPr="00E93556">
        <w:rPr>
          <w:rStyle w:val="BodyTextUbuntu9pt"/>
          <w:lang w:val="de-DE"/>
        </w:rPr>
        <w:t xml:space="preserve"> </w:t>
      </w:r>
      <w:r w:rsidRPr="00E93556">
        <w:rPr>
          <w:rStyle w:val="BodyTextUbuntu9pt"/>
          <w:b/>
          <w:bCs/>
          <w:lang w:val="de-DE"/>
        </w:rPr>
        <w:t>|</w:t>
      </w:r>
      <w:r w:rsidRPr="00E93556">
        <w:rPr>
          <w:rStyle w:val="BodyTextUbuntu9pt"/>
          <w:lang w:val="de-DE"/>
        </w:rPr>
        <w:t xml:space="preserve"> </w:t>
      </w:r>
      <w:hyperlink r:id="rId15" w:history="1">
        <w:r w:rsidR="00A42222" w:rsidRPr="00850682">
          <w:rPr>
            <w:rStyle w:val="Hyperlink"/>
            <w:rFonts w:eastAsiaTheme="minorHAnsi" w:cs="Calibri"/>
            <w:color w:val="0070C0"/>
            <w:szCs w:val="18"/>
            <w:lang w:val="de-DE"/>
          </w:rPr>
          <w:t>www.capgemini.com/at-de</w:t>
        </w:r>
      </w:hyperlink>
    </w:p>
    <w:p w14:paraId="751550F2" w14:textId="77777777" w:rsidR="009A0A5A" w:rsidRDefault="009A0A5A" w:rsidP="00EC70D8"/>
    <w:p w14:paraId="1089B422" w14:textId="77777777" w:rsidR="009A0A5A" w:rsidRPr="009A0A5A" w:rsidRDefault="009A0A5A" w:rsidP="009A0A5A">
      <w:pPr>
        <w:jc w:val="both"/>
        <w:rPr>
          <w:rStyle w:val="BodyTextUbuntu9pt"/>
          <w:b/>
          <w:bCs/>
        </w:rPr>
      </w:pPr>
      <w:r w:rsidRPr="009A0A5A">
        <w:rPr>
          <w:rStyle w:val="BodyTextUbuntu9pt"/>
          <w:b/>
          <w:bCs/>
        </w:rPr>
        <w:t>Über das Capgemini Research Institute</w:t>
      </w:r>
    </w:p>
    <w:p w14:paraId="0DD02484" w14:textId="77777777" w:rsidR="009A0A5A" w:rsidRPr="009A0A5A" w:rsidRDefault="009A0A5A" w:rsidP="009A0A5A">
      <w:pPr>
        <w:jc w:val="both"/>
        <w:rPr>
          <w:rStyle w:val="BodyTextUbuntu9pt"/>
        </w:rPr>
      </w:pPr>
      <w:r w:rsidRPr="009A0A5A">
        <w:rPr>
          <w:rStyle w:val="BodyTextUbuntu9pt"/>
        </w:rPr>
        <w:t>Das Capgemini Research Institute ist Capgeminis hauseigener Think-Tank in digitalen Angelegenheiten. Das Institut veröffentlicht Forschungsarbeiten über den Einfluss digitaler Technologien auf große Unternehmen. Das Team greift dabei auf das weltweite Netzwerk von Capgemini-Experten zurück und arbeitet eng mit akademischen und technologischen Partnern zusammen. Das Institut hat Forschungszentren in Indien, Singapur, Großbritannien, und den USA.</w:t>
      </w:r>
    </w:p>
    <w:p w14:paraId="4FE4686C" w14:textId="77777777" w:rsidR="009A0A5A" w:rsidRPr="00C90050" w:rsidRDefault="009A0A5A" w:rsidP="00EC70D8">
      <w:pPr>
        <w:rPr>
          <w:rStyle w:val="Hyperlink"/>
          <w:rFonts w:eastAsiaTheme="minorHAnsi" w:cs="Calibri"/>
          <w:szCs w:val="18"/>
        </w:rPr>
      </w:pPr>
    </w:p>
    <w:bookmarkEnd w:id="0"/>
    <w:p w14:paraId="4382EDA8" w14:textId="77777777" w:rsidR="0010215C" w:rsidRPr="00E93556" w:rsidRDefault="0010215C" w:rsidP="001C66CD">
      <w:pPr>
        <w:jc w:val="both"/>
        <w:rPr>
          <w:lang w:val="de-DE"/>
        </w:rPr>
      </w:pPr>
    </w:p>
    <w:p w14:paraId="31061C68" w14:textId="77777777" w:rsidR="006F7262" w:rsidRPr="00FC43C8" w:rsidRDefault="006F7262" w:rsidP="006F7262">
      <w:pPr>
        <w:jc w:val="both"/>
        <w:rPr>
          <w:szCs w:val="18"/>
          <w:lang w:val="de-DE"/>
        </w:rPr>
      </w:pPr>
      <w:bookmarkStart w:id="1" w:name="_Hlk56462561"/>
    </w:p>
    <w:p w14:paraId="527C970D" w14:textId="77777777" w:rsidR="006F7262" w:rsidRPr="00850682" w:rsidRDefault="006F7262" w:rsidP="006F7262">
      <w:pPr>
        <w:pStyle w:val="null"/>
        <w:spacing w:before="0" w:beforeAutospacing="0" w:after="0" w:afterAutospacing="0"/>
        <w:jc w:val="both"/>
        <w:rPr>
          <w:rFonts w:ascii="Ubuntu" w:hAnsi="Ubuntu"/>
          <w:color w:val="0070C0"/>
          <w:sz w:val="18"/>
          <w:szCs w:val="18"/>
          <w:lang w:val="de-DE"/>
        </w:rPr>
      </w:pPr>
      <w:r w:rsidRPr="00FC43C8">
        <w:rPr>
          <w:rFonts w:ascii="Ubuntu" w:hAnsi="Ubuntu" w:cs="Vijaya"/>
          <w:sz w:val="18"/>
          <w:szCs w:val="18"/>
          <w:lang w:val="de-DE"/>
        </w:rPr>
        <w:t>Besuchen Sie uns auf</w:t>
      </w:r>
      <w:r w:rsidRPr="00FC43C8">
        <w:rPr>
          <w:rStyle w:val="null1"/>
          <w:color w:val="0000FF"/>
          <w:sz w:val="18"/>
          <w:szCs w:val="18"/>
          <w:lang w:val="de-DE"/>
        </w:rPr>
        <w:t xml:space="preserve"> </w:t>
      </w:r>
      <w:hyperlink r:id="rId16" w:history="1">
        <w:r w:rsidRPr="00850682">
          <w:rPr>
            <w:rStyle w:val="Hyperlink"/>
            <w:rFonts w:ascii="Ubuntu" w:hAnsi="Ubuntu"/>
            <w:color w:val="0070C0"/>
            <w:sz w:val="18"/>
            <w:szCs w:val="18"/>
            <w:lang w:val="de-DE"/>
          </w:rPr>
          <w:t>https://www.capgemini.com/de-de/insights/capgemini-research-institute/</w:t>
        </w:r>
      </w:hyperlink>
    </w:p>
    <w:p w14:paraId="10BB9C53" w14:textId="77777777" w:rsidR="006F7262" w:rsidRPr="00FC43C8" w:rsidRDefault="006F7262" w:rsidP="006F7262">
      <w:pPr>
        <w:pStyle w:val="null"/>
        <w:spacing w:before="0" w:beforeAutospacing="0" w:after="0" w:afterAutospacing="0"/>
        <w:jc w:val="both"/>
        <w:rPr>
          <w:rStyle w:val="Hyperlink"/>
          <w:rFonts w:ascii="Ubuntu" w:hAnsi="Ubuntu"/>
          <w:sz w:val="14"/>
          <w:szCs w:val="18"/>
          <w:lang w:val="de-DE"/>
        </w:rPr>
      </w:pPr>
    </w:p>
    <w:p w14:paraId="0868E463" w14:textId="77777777" w:rsidR="006F7262" w:rsidRPr="00FC43C8" w:rsidRDefault="006F7262" w:rsidP="006F7262">
      <w:pPr>
        <w:pStyle w:val="null"/>
        <w:spacing w:before="0" w:beforeAutospacing="0" w:after="0" w:afterAutospacing="0"/>
        <w:jc w:val="both"/>
        <w:rPr>
          <w:rFonts w:ascii="Ubuntu" w:hAnsi="Ubuntu" w:cs="Vijaya"/>
          <w:sz w:val="18"/>
          <w:szCs w:val="18"/>
          <w:lang w:val="de-DE"/>
        </w:rPr>
      </w:pPr>
      <w:r w:rsidRPr="00FC43C8">
        <w:rPr>
          <w:rFonts w:ascii="Ubuntu" w:hAnsi="Ubuntu" w:cs="Vijaya"/>
          <w:sz w:val="18"/>
          <w:szCs w:val="18"/>
          <w:lang w:val="de-DE"/>
        </w:rPr>
        <w:t xml:space="preserve">Abonnieren Sie unsere Studien auf </w:t>
      </w:r>
      <w:hyperlink r:id="rId17" w:history="1">
        <w:r w:rsidRPr="00850682">
          <w:rPr>
            <w:rStyle w:val="Hyperlink"/>
            <w:rFonts w:ascii="Ubuntu" w:hAnsi="Ubuntu" w:cs="Vijaya"/>
            <w:color w:val="0070C0"/>
            <w:sz w:val="18"/>
            <w:szCs w:val="18"/>
            <w:lang w:val="de-DE"/>
          </w:rPr>
          <w:t>www.capgemini.com/capgemini-research-institute-subscription</w:t>
        </w:r>
      </w:hyperlink>
    </w:p>
    <w:bookmarkEnd w:id="1"/>
    <w:p w14:paraId="1B14BAC6" w14:textId="4723713A" w:rsidR="0010215C" w:rsidRDefault="0010215C" w:rsidP="006F7262">
      <w:pPr>
        <w:pStyle w:val="null"/>
        <w:spacing w:before="0" w:beforeAutospacing="0" w:after="0" w:afterAutospacing="0"/>
        <w:jc w:val="both"/>
        <w:rPr>
          <w:rFonts w:ascii="Ubuntu" w:hAnsi="Ubuntu"/>
          <w:sz w:val="18"/>
          <w:szCs w:val="18"/>
          <w:lang w:val="de-DE"/>
        </w:rPr>
      </w:pPr>
    </w:p>
    <w:p w14:paraId="701E4643" w14:textId="77777777" w:rsidR="00DD42AC" w:rsidRDefault="00DD42AC" w:rsidP="006F7262">
      <w:pPr>
        <w:pStyle w:val="null"/>
        <w:spacing w:before="0" w:beforeAutospacing="0" w:after="0" w:afterAutospacing="0"/>
        <w:jc w:val="both"/>
        <w:rPr>
          <w:rFonts w:ascii="Ubuntu" w:hAnsi="Ubuntu"/>
          <w:sz w:val="18"/>
          <w:szCs w:val="18"/>
          <w:lang w:val="de-DE"/>
        </w:rPr>
      </w:pPr>
    </w:p>
    <w:p w14:paraId="796F3E3D" w14:textId="77777777" w:rsidR="00DD42AC" w:rsidRPr="00812D59" w:rsidRDefault="00DD42AC" w:rsidP="006F7262">
      <w:pPr>
        <w:pStyle w:val="null"/>
        <w:spacing w:before="0" w:beforeAutospacing="0" w:after="0" w:afterAutospacing="0"/>
        <w:jc w:val="both"/>
        <w:rPr>
          <w:rFonts w:ascii="Ubuntu" w:hAnsi="Ubuntu"/>
          <w:sz w:val="18"/>
          <w:szCs w:val="18"/>
          <w:lang w:val="de-DE"/>
        </w:rPr>
      </w:pPr>
    </w:p>
    <w:sectPr w:rsidR="00DD42AC" w:rsidRPr="00812D59" w:rsidSect="00AF4CF4">
      <w:headerReference w:type="default" r:id="rId18"/>
      <w:footerReference w:type="default" r:id="rId19"/>
      <w:headerReference w:type="first" r:id="rId20"/>
      <w:footerReference w:type="first" r:id="rId21"/>
      <w:pgSz w:w="11906" w:h="16838" w:code="9"/>
      <w:pgMar w:top="1440" w:right="1080" w:bottom="1440" w:left="1080" w:header="1152"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76BE" w14:textId="77777777" w:rsidR="00EE173B" w:rsidRDefault="00EE173B">
      <w:r>
        <w:separator/>
      </w:r>
    </w:p>
  </w:endnote>
  <w:endnote w:type="continuationSeparator" w:id="0">
    <w:p w14:paraId="559FABB5" w14:textId="77777777" w:rsidR="00EE173B" w:rsidRDefault="00EE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buntu Medium">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5AC3" w14:textId="77777777" w:rsidR="008F4B2A" w:rsidRPr="00211168" w:rsidRDefault="009606D5" w:rsidP="004159BE">
    <w:pPr>
      <w:pStyle w:val="FooterLS1"/>
    </w:pPr>
    <w:r w:rsidRPr="00211168">
      <w:rPr>
        <w:noProof/>
      </w:rPr>
      <mc:AlternateContent>
        <mc:Choice Requires="wps">
          <w:drawing>
            <wp:anchor distT="0" distB="0" distL="114300" distR="114300" simplePos="0" relativeHeight="251658242" behindDoc="1" locked="0" layoutInCell="1" allowOverlap="1" wp14:anchorId="1C7A15DA" wp14:editId="12A51182">
              <wp:simplePos x="0" y="0"/>
              <wp:positionH relativeFrom="page">
                <wp:posOffset>0</wp:posOffset>
              </wp:positionH>
              <wp:positionV relativeFrom="page">
                <wp:posOffset>10463530</wp:posOffset>
              </wp:positionV>
              <wp:extent cx="7562850" cy="228600"/>
              <wp:effectExtent l="0" t="0" r="0" b="0"/>
              <wp:wrapNone/>
              <wp:docPr id="743368502" name="Rectangle 22"/>
              <wp:cNvGraphicFramePr/>
              <a:graphic xmlns:a="http://schemas.openxmlformats.org/drawingml/2006/main">
                <a:graphicData uri="http://schemas.microsoft.com/office/word/2010/wordprocessingShape">
                  <wps:wsp>
                    <wps:cNvSpPr/>
                    <wps:spPr>
                      <a:xfrm>
                        <a:off x="0" y="0"/>
                        <a:ext cx="7562850" cy="228600"/>
                      </a:xfrm>
                      <a:prstGeom prst="rect">
                        <a:avLst/>
                      </a:prstGeom>
                      <a:gradFill>
                        <a:gsLst>
                          <a:gs pos="99000">
                            <a:schemeClr val="accent4"/>
                          </a:gs>
                          <a:gs pos="0">
                            <a:schemeClr val="accent1"/>
                          </a:gs>
                          <a:gs pos="30000">
                            <a:schemeClr val="accent2"/>
                          </a:gs>
                          <a:gs pos="70000">
                            <a:schemeClr val="accent3"/>
                          </a:gs>
                        </a:gsLst>
                        <a:lin ang="0" scaled="0"/>
                      </a:gradFill>
                      <a:ln w="9525">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221C" id="Rectangle 22" o:spid="_x0000_s1026" style="position:absolute;margin-left:0;margin-top:823.9pt;width:595.5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" fillcolor="#121a38 [3204]" stroked="f">
              <v:fill color2="#00d5d0 [3207]" angle="90" colors="0 #121a38;19661f #0058ab;45875f #1db8f2;64881f #00d5d0" focus="100%" type="gradient">
                <o:fill v:ext="view" type="gradientUnscaled"/>
              </v:fill>
              <w10:wrap anchorx="page" anchory="page"/>
            </v:rect>
          </w:pict>
        </mc:Fallback>
      </mc:AlternateContent>
    </w:r>
    <w:r w:rsidR="00CA7A1D" w:rsidRPr="00211168">
      <w:t>Capgemini-Pressemitteilung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16C4" w14:textId="77777777" w:rsidR="0090794D" w:rsidRPr="004159BE" w:rsidRDefault="0090794D" w:rsidP="004159BE">
    <w:pPr>
      <w:pStyle w:val="FooterLS1"/>
    </w:pPr>
    <w:r w:rsidRPr="004159BE">
      <w:t>Capgemini-Pressemitteilung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7601" w14:textId="77777777" w:rsidR="00EE173B" w:rsidRDefault="00EE173B">
      <w:r>
        <w:separator/>
      </w:r>
    </w:p>
  </w:footnote>
  <w:footnote w:type="continuationSeparator" w:id="0">
    <w:p w14:paraId="0D57171D" w14:textId="77777777" w:rsidR="00EE173B" w:rsidRDefault="00EE173B">
      <w:r>
        <w:continuationSeparator/>
      </w:r>
    </w:p>
  </w:footnote>
  <w:footnote w:id="1">
    <w:p w14:paraId="1FABCCE7" w14:textId="77777777" w:rsidR="00A34DDB" w:rsidRPr="00F21E08" w:rsidRDefault="00A34DDB" w:rsidP="00A34DDB">
      <w:pPr>
        <w:pStyle w:val="Funotentext"/>
        <w:rPr>
          <w:rFonts w:eastAsiaTheme="minorEastAsia" w:cstheme="minorBidi"/>
          <w:sz w:val="14"/>
          <w:szCs w:val="14"/>
        </w:rPr>
      </w:pPr>
      <w:r w:rsidRPr="00D152FB">
        <w:rPr>
          <w:rStyle w:val="Funotenzeichen"/>
          <w:sz w:val="14"/>
          <w:szCs w:val="14"/>
        </w:rPr>
        <w:footnoteRef/>
      </w:r>
      <w:r w:rsidRPr="00F21E08">
        <w:rPr>
          <w:sz w:val="14"/>
          <w:szCs w:val="14"/>
        </w:rPr>
        <w:t xml:space="preserve"> Capgemini Research Institute, </w:t>
      </w:r>
      <w:hyperlink r:id="rId1" w:history="1">
        <w:r w:rsidRPr="00850682">
          <w:rPr>
            <w:rStyle w:val="Hyperlink"/>
            <w:rFonts w:eastAsiaTheme="minorHAnsi" w:cs="Arial"/>
            <w:color w:val="0070C0"/>
            <w:sz w:val="14"/>
            <w:szCs w:val="14"/>
          </w:rPr>
          <w:t>Rise of Agentic AI</w:t>
        </w:r>
      </w:hyperlink>
      <w:r w:rsidRPr="00F21E08">
        <w:rPr>
          <w:sz w:val="14"/>
          <w:szCs w:val="14"/>
        </w:rPr>
        <w:t xml:space="preserve"> ist“</w:t>
      </w:r>
      <w:hyperlink r:id="rId2" w:history="1">
        <w:r w:rsidRPr="00F21E08">
          <w:rPr>
            <w:rStyle w:val="Hyperlink"/>
            <w:rFonts w:eastAsiaTheme="minorHAnsi" w:cs="Arial"/>
            <w:color w:val="0000FF"/>
            <w:sz w:val="14"/>
            <w:szCs w:val="14"/>
          </w:rPr>
          <w:t>,</w:t>
        </w:r>
      </w:hyperlink>
      <w:r w:rsidRPr="00F21E08">
        <w:rPr>
          <w:sz w:val="14"/>
          <w:szCs w:val="14"/>
        </w:rPr>
        <w:t xml:space="preserve"> Juli 2025</w:t>
      </w:r>
    </w:p>
  </w:footnote>
  <w:footnote w:id="2">
    <w:p w14:paraId="7F95935E" w14:textId="2B535683" w:rsidR="008052C7" w:rsidRPr="00812D59" w:rsidRDefault="008052C7">
      <w:pPr>
        <w:pStyle w:val="Funotentext"/>
        <w:rPr>
          <w:lang w:val="de-DE"/>
        </w:rPr>
      </w:pPr>
      <w:r w:rsidRPr="00CE182C">
        <w:rPr>
          <w:sz w:val="14"/>
          <w:szCs w:val="14"/>
        </w:rPr>
        <w:footnoteRef/>
      </w:r>
      <w:r w:rsidR="00CE182C" w:rsidRPr="00812D59">
        <w:rPr>
          <w:sz w:val="14"/>
          <w:szCs w:val="14"/>
          <w:lang w:val="de-DE"/>
        </w:rPr>
        <w:t xml:space="preserve"> Service-as-a-Software ist ein Geschäftsmodell</w:t>
      </w:r>
      <w:r w:rsidR="001B2D62" w:rsidRPr="00812D59">
        <w:rPr>
          <w:sz w:val="14"/>
          <w:szCs w:val="14"/>
          <w:lang w:val="de-DE"/>
        </w:rPr>
        <w:t>,</w:t>
      </w:r>
      <w:r w:rsidR="00CE182C" w:rsidRPr="00812D59">
        <w:rPr>
          <w:sz w:val="14"/>
          <w:szCs w:val="14"/>
          <w:lang w:val="de-DE"/>
        </w:rPr>
        <w:t xml:space="preserve"> bei dem das </w:t>
      </w:r>
      <w:r w:rsidR="00427319" w:rsidRPr="00812D59">
        <w:rPr>
          <w:sz w:val="14"/>
          <w:szCs w:val="14"/>
          <w:lang w:val="de-DE"/>
        </w:rPr>
        <w:t xml:space="preserve">Unternehmen für Endergebnisse wie aufgeklärte Betrugsfälle </w:t>
      </w:r>
      <w:r w:rsidR="001B2D62" w:rsidRPr="00812D59">
        <w:rPr>
          <w:sz w:val="14"/>
          <w:szCs w:val="14"/>
          <w:lang w:val="de-DE"/>
        </w:rPr>
        <w:t xml:space="preserve">oder ein bestimmtes Ergebnis </w:t>
      </w:r>
      <w:r w:rsidR="00427319" w:rsidRPr="00812D59">
        <w:rPr>
          <w:sz w:val="14"/>
          <w:szCs w:val="14"/>
          <w:lang w:val="de-DE"/>
        </w:rPr>
        <w:t>bezahlt</w:t>
      </w:r>
      <w:r w:rsidR="001B2D62" w:rsidRPr="00812D59">
        <w:rPr>
          <w:sz w:val="14"/>
          <w:szCs w:val="14"/>
          <w:lang w:val="de-DE"/>
        </w:rPr>
        <w:t xml:space="preserve">, </w:t>
      </w:r>
      <w:r w:rsidR="00427319" w:rsidRPr="00812D59">
        <w:rPr>
          <w:sz w:val="14"/>
          <w:szCs w:val="14"/>
          <w:lang w:val="de-DE"/>
        </w:rPr>
        <w:t>anstatt für Lizenzen oder Infrastruktur.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66A" w14:textId="77777777" w:rsidR="00452FF5" w:rsidRPr="00D40C4F" w:rsidRDefault="00411EC4" w:rsidP="00605BC5">
    <w:pPr>
      <w:pStyle w:val="BodyText1"/>
    </w:pPr>
    <w:r w:rsidRPr="00D40C4F">
      <w:rPr>
        <w:noProof/>
      </w:rPr>
      <mc:AlternateContent>
        <mc:Choice Requires="wpg">
          <w:drawing>
            <wp:anchor distT="0" distB="0" distL="114300" distR="114300" simplePos="0" relativeHeight="251658241" behindDoc="0" locked="0" layoutInCell="1" allowOverlap="1" wp14:anchorId="67A17433" wp14:editId="37F3BBD8">
              <wp:simplePos x="0" y="0"/>
              <wp:positionH relativeFrom="margin">
                <wp:align>right</wp:align>
              </wp:positionH>
              <wp:positionV relativeFrom="paragraph">
                <wp:posOffset>-311785</wp:posOffset>
              </wp:positionV>
              <wp:extent cx="232847" cy="215444"/>
              <wp:effectExtent l="0" t="0" r="0" b="0"/>
              <wp:wrapNone/>
              <wp:docPr id="703601869" name="Group 37"/>
              <wp:cNvGraphicFramePr/>
              <a:graphic xmlns:a="http://schemas.openxmlformats.org/drawingml/2006/main">
                <a:graphicData uri="http://schemas.microsoft.com/office/word/2010/wordprocessingGroup">
                  <wpg:wgp>
                    <wpg:cNvGrpSpPr/>
                    <wpg:grpSpPr>
                      <a:xfrm>
                        <a:off x="0" y="0"/>
                        <a:ext cx="232847" cy="215444"/>
                        <a:chOff x="0" y="0"/>
                        <a:chExt cx="1231900" cy="1139825"/>
                      </a:xfrm>
                      <a:solidFill>
                        <a:schemeClr val="accent2"/>
                      </a:solidFill>
                    </wpg:grpSpPr>
                    <wps:wsp>
                      <wps:cNvPr id="1662698257" name="Freeform 320"/>
                      <wps:cNvSpPr>
                        <a:spLocks/>
                      </wps:cNvSpPr>
                      <wps:spPr bwMode="auto">
                        <a:xfrm>
                          <a:off x="0" y="0"/>
                          <a:ext cx="1203325" cy="1041400"/>
                        </a:xfrm>
                        <a:custGeom>
                          <a:avLst/>
                          <a:gdLst>
                            <a:gd name="T0" fmla="*/ 229 w 281"/>
                            <a:gd name="T1" fmla="*/ 105 h 243"/>
                            <a:gd name="T2" fmla="*/ 186 w 281"/>
                            <a:gd name="T3" fmla="*/ 141 h 243"/>
                            <a:gd name="T4" fmla="*/ 154 w 281"/>
                            <a:gd name="T5" fmla="*/ 194 h 243"/>
                            <a:gd name="T6" fmla="*/ 112 w 281"/>
                            <a:gd name="T7" fmla="*/ 233 h 243"/>
                            <a:gd name="T8" fmla="*/ 53 w 281"/>
                            <a:gd name="T9" fmla="*/ 236 h 243"/>
                            <a:gd name="T10" fmla="*/ 0 w 281"/>
                            <a:gd name="T11" fmla="*/ 159 h 243"/>
                            <a:gd name="T12" fmla="*/ 153 w 281"/>
                            <a:gd name="T13" fmla="*/ 0 h 243"/>
                            <a:gd name="T14" fmla="*/ 153 w 281"/>
                            <a:gd name="T15" fmla="*/ 0 h 243"/>
                            <a:gd name="T16" fmla="*/ 160 w 281"/>
                            <a:gd name="T17" fmla="*/ 3 h 243"/>
                            <a:gd name="T18" fmla="*/ 237 w 281"/>
                            <a:gd name="T19" fmla="*/ 51 h 243"/>
                            <a:gd name="T20" fmla="*/ 281 w 281"/>
                            <a:gd name="T21" fmla="*/ 118 h 243"/>
                            <a:gd name="T22" fmla="*/ 229 w 281"/>
                            <a:gd name="T23" fmla="*/ 10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1" h="243">
                              <a:moveTo>
                                <a:pt x="229" y="105"/>
                              </a:moveTo>
                              <a:cubicBezTo>
                                <a:pt x="210" y="109"/>
                                <a:pt x="196" y="125"/>
                                <a:pt x="186" y="141"/>
                              </a:cubicBezTo>
                              <a:cubicBezTo>
                                <a:pt x="175" y="159"/>
                                <a:pt x="166" y="177"/>
                                <a:pt x="154" y="194"/>
                              </a:cubicBezTo>
                              <a:cubicBezTo>
                                <a:pt x="143" y="211"/>
                                <a:pt x="130" y="225"/>
                                <a:pt x="112" y="233"/>
                              </a:cubicBezTo>
                              <a:cubicBezTo>
                                <a:pt x="93" y="242"/>
                                <a:pt x="72" y="243"/>
                                <a:pt x="53" y="236"/>
                              </a:cubicBezTo>
                              <a:cubicBezTo>
                                <a:pt x="21" y="224"/>
                                <a:pt x="0" y="192"/>
                                <a:pt x="0" y="159"/>
                              </a:cubicBezTo>
                              <a:cubicBezTo>
                                <a:pt x="0" y="72"/>
                                <a:pt x="119" y="42"/>
                                <a:pt x="153" y="0"/>
                              </a:cubicBezTo>
                              <a:cubicBezTo>
                                <a:pt x="153" y="0"/>
                                <a:pt x="153" y="0"/>
                                <a:pt x="153" y="0"/>
                              </a:cubicBezTo>
                              <a:cubicBezTo>
                                <a:pt x="155" y="1"/>
                                <a:pt x="158" y="2"/>
                                <a:pt x="160" y="3"/>
                              </a:cubicBezTo>
                              <a:cubicBezTo>
                                <a:pt x="188" y="15"/>
                                <a:pt x="214" y="30"/>
                                <a:pt x="237" y="51"/>
                              </a:cubicBezTo>
                              <a:cubicBezTo>
                                <a:pt x="258" y="70"/>
                                <a:pt x="273" y="92"/>
                                <a:pt x="281" y="118"/>
                              </a:cubicBezTo>
                              <a:cubicBezTo>
                                <a:pt x="268" y="105"/>
                                <a:pt x="247" y="100"/>
                                <a:pt x="229" y="105"/>
                              </a:cubicBezTo>
                            </a:path>
                          </a:pathLst>
                        </a:custGeom>
                        <a:grpFill/>
                        <a:ln>
                          <a:noFill/>
                        </a:ln>
                      </wps:spPr>
                      <wps:bodyPr vert="horz" wrap="square" lIns="91440" tIns="45720" rIns="91440" bIns="45720" numCol="1" anchor="t" anchorCtr="0" compatLnSpc="1">
                        <a:prstTxWarp prst="textNoShape">
                          <a:avLst/>
                        </a:prstTxWarp>
                      </wps:bodyPr>
                    </wps:wsp>
                    <wps:wsp>
                      <wps:cNvPr id="1593781577" name="Freeform 321"/>
                      <wps:cNvSpPr>
                        <a:spLocks/>
                      </wps:cNvSpPr>
                      <wps:spPr bwMode="auto">
                        <a:xfrm>
                          <a:off x="428625" y="484187"/>
                          <a:ext cx="803275" cy="655638"/>
                        </a:xfrm>
                        <a:custGeom>
                          <a:avLst/>
                          <a:gdLst>
                            <a:gd name="T0" fmla="*/ 183 w 188"/>
                            <a:gd name="T1" fmla="*/ 61 h 153"/>
                            <a:gd name="T2" fmla="*/ 140 w 188"/>
                            <a:gd name="T3" fmla="*/ 103 h 153"/>
                            <a:gd name="T4" fmla="*/ 79 w 188"/>
                            <a:gd name="T5" fmla="*/ 84 h 153"/>
                            <a:gd name="T6" fmla="*/ 123 w 188"/>
                            <a:gd name="T7" fmla="*/ 124 h 153"/>
                            <a:gd name="T8" fmla="*/ 65 w 188"/>
                            <a:gd name="T9" fmla="*/ 149 h 153"/>
                            <a:gd name="T10" fmla="*/ 31 w 188"/>
                            <a:gd name="T11" fmla="*/ 152 h 153"/>
                            <a:gd name="T12" fmla="*/ 0 w 188"/>
                            <a:gd name="T13" fmla="*/ 144 h 153"/>
                            <a:gd name="T14" fmla="*/ 48 w 188"/>
                            <a:gd name="T15" fmla="*/ 114 h 153"/>
                            <a:gd name="T16" fmla="*/ 77 w 188"/>
                            <a:gd name="T17" fmla="*/ 72 h 153"/>
                            <a:gd name="T18" fmla="*/ 103 w 188"/>
                            <a:gd name="T19" fmla="*/ 25 h 153"/>
                            <a:gd name="T20" fmla="*/ 140 w 188"/>
                            <a:gd name="T21" fmla="*/ 1 h 153"/>
                            <a:gd name="T22" fmla="*/ 182 w 188"/>
                            <a:gd name="T23" fmla="*/ 22 h 153"/>
                            <a:gd name="T24" fmla="*/ 183 w 188"/>
                            <a:gd name="T25" fmla="*/ 6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8" h="153">
                              <a:moveTo>
                                <a:pt x="183" y="61"/>
                              </a:moveTo>
                              <a:cubicBezTo>
                                <a:pt x="177" y="81"/>
                                <a:pt x="160" y="97"/>
                                <a:pt x="140" y="103"/>
                              </a:cubicBezTo>
                              <a:cubicBezTo>
                                <a:pt x="117" y="109"/>
                                <a:pt x="94" y="102"/>
                                <a:pt x="79" y="84"/>
                              </a:cubicBezTo>
                              <a:cubicBezTo>
                                <a:pt x="80" y="108"/>
                                <a:pt x="99" y="124"/>
                                <a:pt x="123" y="124"/>
                              </a:cubicBezTo>
                              <a:cubicBezTo>
                                <a:pt x="108" y="139"/>
                                <a:pt x="86" y="146"/>
                                <a:pt x="65" y="149"/>
                              </a:cubicBezTo>
                              <a:cubicBezTo>
                                <a:pt x="54" y="151"/>
                                <a:pt x="42" y="153"/>
                                <a:pt x="31" y="152"/>
                              </a:cubicBezTo>
                              <a:cubicBezTo>
                                <a:pt x="21" y="152"/>
                                <a:pt x="9" y="150"/>
                                <a:pt x="0" y="144"/>
                              </a:cubicBezTo>
                              <a:cubicBezTo>
                                <a:pt x="19" y="139"/>
                                <a:pt x="35" y="128"/>
                                <a:pt x="48" y="114"/>
                              </a:cubicBezTo>
                              <a:cubicBezTo>
                                <a:pt x="60" y="101"/>
                                <a:pt x="69" y="87"/>
                                <a:pt x="77" y="72"/>
                              </a:cubicBezTo>
                              <a:cubicBezTo>
                                <a:pt x="85" y="56"/>
                                <a:pt x="92" y="39"/>
                                <a:pt x="103" y="25"/>
                              </a:cubicBezTo>
                              <a:cubicBezTo>
                                <a:pt x="112" y="12"/>
                                <a:pt x="124" y="2"/>
                                <a:pt x="140" y="1"/>
                              </a:cubicBezTo>
                              <a:cubicBezTo>
                                <a:pt x="157" y="0"/>
                                <a:pt x="174" y="7"/>
                                <a:pt x="182" y="22"/>
                              </a:cubicBezTo>
                              <a:cubicBezTo>
                                <a:pt x="188" y="35"/>
                                <a:pt x="187" y="48"/>
                                <a:pt x="183" y="61"/>
                              </a:cubicBezTo>
                            </a:path>
                          </a:pathLst>
                        </a:custGeom>
                        <a:grp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F936269" id="Group 37" o:spid="_x0000_s1026" style="position:absolute;margin-left:-32.85pt;margin-top:-24.55pt;width:18.35pt;height:16.95pt;z-index:251659776;mso-position-horizontal:right;mso-position-horizontal-relative:margin" coordsize="12319,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">
              <v:shape id="Freeform 320" o:spid="_x0000_s1027" style="position:absolute;width:12033;height:10414;visibility:visible;mso-wrap-style:square;v-text-anchor:top" coordsize="28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" path="m229,105v-19,4,-33,20,-43,36c175,159,166,177,154,194v-11,17,-24,31,-42,39c93,242,72,243,53,236,21,224,,192,,159,,72,119,42,153,v,,,,,c155,1,158,2,160,3v28,12,54,27,77,48c258,70,273,92,281,118,268,105,247,100,229,105e" filled="f" stroked="f">
                <v:path arrowok="t" o:connecttype="custom" o:connectlocs="980646,449988;796507,604269;659473,831406;479617,998544;226962,1011401;0,681410;655191,0;655191,0;685167,12857;1014904,218565;1203325,505700;980646,449988" o:connectangles="0,0,0,0,0,0,0,0,0,0,0,0"/>
              </v:shape>
              <v:shape id="Freeform 321" o:spid="_x0000_s1028" style="position:absolute;left:4286;top:4841;width:8033;height:6557;visibility:visible;mso-wrap-style:square;v-text-anchor:top" coordsize="18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" path="m183,61v-6,20,-23,36,-43,42c117,109,94,102,79,84v1,24,20,40,44,40c108,139,86,146,65,149v-11,2,-23,4,-34,3c21,152,9,150,,144v19,-5,35,-16,48,-30c60,101,69,87,77,72,85,56,92,39,103,25,112,12,124,2,140,1v17,-1,34,6,42,21c188,35,187,48,183,61e" filled="f" stroked="f">
                <v:path arrowok="t" o:connecttype="custom" o:connectlocs="781911,261398;598184,441377;337546,359958;525547,531367;277728,638497;132455,651353;0,617071;205091,488515;329001,308536;440092,107130;598184,4285;777639,94275;781911,261398" o:connectangles="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2945" w14:textId="77777777" w:rsidR="0090794D" w:rsidRPr="004929E3" w:rsidRDefault="004929E3" w:rsidP="0090794D">
    <w:r w:rsidRPr="004929E3">
      <w:rPr>
        <w:noProof/>
      </w:rPr>
      <w:drawing>
        <wp:anchor distT="0" distB="0" distL="114300" distR="114300" simplePos="0" relativeHeight="251658240" behindDoc="0" locked="0" layoutInCell="1" allowOverlap="1" wp14:anchorId="619D5C60" wp14:editId="6CEDB8E5">
          <wp:simplePos x="0" y="0"/>
          <wp:positionH relativeFrom="margin">
            <wp:align>left</wp:align>
          </wp:positionH>
          <wp:positionV relativeFrom="paragraph">
            <wp:posOffset>-313671</wp:posOffset>
          </wp:positionV>
          <wp:extent cx="1975104" cy="492968"/>
          <wp:effectExtent l="0" t="0" r="6350" b="2540"/>
          <wp:wrapThrough wrapText="bothSides">
            <wp:wrapPolygon edited="0">
              <wp:start x="1250" y="0"/>
              <wp:lineTo x="0" y="4175"/>
              <wp:lineTo x="0" y="10021"/>
              <wp:lineTo x="625" y="15031"/>
              <wp:lineTo x="5001" y="20876"/>
              <wp:lineTo x="6459" y="20876"/>
              <wp:lineTo x="7709" y="20876"/>
              <wp:lineTo x="10626" y="20876"/>
              <wp:lineTo x="20628" y="16701"/>
              <wp:lineTo x="20628" y="15031"/>
              <wp:lineTo x="21461" y="11691"/>
              <wp:lineTo x="21461" y="5845"/>
              <wp:lineTo x="20003" y="0"/>
              <wp:lineTo x="1250" y="0"/>
            </wp:wrapPolygon>
          </wp:wrapThrough>
          <wp:docPr id="130964678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37993" name="Picture 1" descr="A blue text on a black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856" t="13621" r="5856" b="18940"/>
                  <a:stretch>
                    <a:fillRect/>
                  </a:stretch>
                </pic:blipFill>
                <pic:spPr bwMode="auto">
                  <a:xfrm>
                    <a:off x="0" y="0"/>
                    <a:ext cx="1975104" cy="49296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F43"/>
    <w:multiLevelType w:val="hybridMultilevel"/>
    <w:tmpl w:val="4E826864"/>
    <w:lvl w:ilvl="0" w:tplc="3BCC9158">
      <w:numFmt w:val="bullet"/>
      <w:lvlText w:val="•"/>
      <w:lvlJc w:val="left"/>
      <w:pPr>
        <w:ind w:left="1428" w:hanging="708"/>
      </w:pPr>
      <w:rPr>
        <w:rFonts w:ascii="Ubuntu" w:eastAsia="Times New Roman" w:hAnsi="Ubuntu"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E5D1E4A"/>
    <w:multiLevelType w:val="hybridMultilevel"/>
    <w:tmpl w:val="8A7EAE4C"/>
    <w:lvl w:ilvl="0" w:tplc="3BCC9158">
      <w:numFmt w:val="bullet"/>
      <w:lvlText w:val="•"/>
      <w:lvlJc w:val="left"/>
      <w:pPr>
        <w:ind w:left="1428" w:hanging="708"/>
      </w:pPr>
      <w:rPr>
        <w:rFonts w:ascii="Ubuntu" w:eastAsia="Times New Roman" w:hAnsi="Ubuntu"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9B11F2C"/>
    <w:multiLevelType w:val="hybridMultilevel"/>
    <w:tmpl w:val="283AB500"/>
    <w:lvl w:ilvl="0" w:tplc="3BCC9158">
      <w:numFmt w:val="bullet"/>
      <w:lvlText w:val="•"/>
      <w:lvlJc w:val="left"/>
      <w:pPr>
        <w:ind w:left="1428" w:hanging="708"/>
      </w:pPr>
      <w:rPr>
        <w:rFonts w:ascii="Ubuntu" w:eastAsia="Times New Roman" w:hAnsi="Ubuntu"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D2A6644"/>
    <w:multiLevelType w:val="hybridMultilevel"/>
    <w:tmpl w:val="30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C7849"/>
    <w:multiLevelType w:val="hybridMultilevel"/>
    <w:tmpl w:val="A2762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0A564F"/>
    <w:multiLevelType w:val="hybridMultilevel"/>
    <w:tmpl w:val="9CB67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754FC5"/>
    <w:multiLevelType w:val="hybridMultilevel"/>
    <w:tmpl w:val="DB584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C9A76F2"/>
    <w:multiLevelType w:val="hybridMultilevel"/>
    <w:tmpl w:val="D41CD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0E3E4C"/>
    <w:multiLevelType w:val="hybridMultilevel"/>
    <w:tmpl w:val="69F0938C"/>
    <w:lvl w:ilvl="0" w:tplc="3BCC9158">
      <w:numFmt w:val="bullet"/>
      <w:lvlText w:val="•"/>
      <w:lvlJc w:val="left"/>
      <w:pPr>
        <w:ind w:left="1068" w:hanging="708"/>
      </w:pPr>
      <w:rPr>
        <w:rFonts w:ascii="Ubuntu" w:eastAsia="Times New Roman" w:hAnsi="Ubuntu"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A642F3"/>
    <w:multiLevelType w:val="hybridMultilevel"/>
    <w:tmpl w:val="3886E3DE"/>
    <w:lvl w:ilvl="0" w:tplc="3BCC9158">
      <w:numFmt w:val="bullet"/>
      <w:lvlText w:val="•"/>
      <w:lvlJc w:val="left"/>
      <w:pPr>
        <w:ind w:left="1428" w:hanging="708"/>
      </w:pPr>
      <w:rPr>
        <w:rFonts w:ascii="Ubuntu" w:eastAsia="Times New Roman" w:hAnsi="Ubuntu"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3253EEF"/>
    <w:multiLevelType w:val="hybridMultilevel"/>
    <w:tmpl w:val="52E81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18772279">
    <w:abstractNumId w:val="9"/>
  </w:num>
  <w:num w:numId="2" w16cid:durableId="2139298495">
    <w:abstractNumId w:val="6"/>
  </w:num>
  <w:num w:numId="3" w16cid:durableId="32657450">
    <w:abstractNumId w:val="4"/>
  </w:num>
  <w:num w:numId="4" w16cid:durableId="100342187">
    <w:abstractNumId w:val="11"/>
  </w:num>
  <w:num w:numId="5" w16cid:durableId="1007442574">
    <w:abstractNumId w:val="7"/>
  </w:num>
  <w:num w:numId="6" w16cid:durableId="1699575402">
    <w:abstractNumId w:val="8"/>
  </w:num>
  <w:num w:numId="7" w16cid:durableId="1315641373">
    <w:abstractNumId w:val="10"/>
  </w:num>
  <w:num w:numId="8" w16cid:durableId="447552867">
    <w:abstractNumId w:val="1"/>
  </w:num>
  <w:num w:numId="9" w16cid:durableId="1247035433">
    <w:abstractNumId w:val="2"/>
  </w:num>
  <w:num w:numId="10" w16cid:durableId="1686593221">
    <w:abstractNumId w:val="0"/>
  </w:num>
  <w:num w:numId="11" w16cid:durableId="2144034222">
    <w:abstractNumId w:val="5"/>
  </w:num>
  <w:num w:numId="12" w16cid:durableId="1905751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CD"/>
    <w:rsid w:val="00012A3F"/>
    <w:rsid w:val="0001794D"/>
    <w:rsid w:val="00037EF2"/>
    <w:rsid w:val="00043217"/>
    <w:rsid w:val="00045AB7"/>
    <w:rsid w:val="00060F48"/>
    <w:rsid w:val="000713EB"/>
    <w:rsid w:val="00072C81"/>
    <w:rsid w:val="0009189C"/>
    <w:rsid w:val="000B236B"/>
    <w:rsid w:val="000B467C"/>
    <w:rsid w:val="000C3B96"/>
    <w:rsid w:val="000D2A4A"/>
    <w:rsid w:val="000F1C30"/>
    <w:rsid w:val="001008C5"/>
    <w:rsid w:val="0010215C"/>
    <w:rsid w:val="001079F6"/>
    <w:rsid w:val="001127AD"/>
    <w:rsid w:val="00120B1E"/>
    <w:rsid w:val="00121BFB"/>
    <w:rsid w:val="00124735"/>
    <w:rsid w:val="00126F12"/>
    <w:rsid w:val="00141B5D"/>
    <w:rsid w:val="00147729"/>
    <w:rsid w:val="0015748B"/>
    <w:rsid w:val="001657EC"/>
    <w:rsid w:val="00167528"/>
    <w:rsid w:val="00167B79"/>
    <w:rsid w:val="0019222D"/>
    <w:rsid w:val="00195720"/>
    <w:rsid w:val="001B2D62"/>
    <w:rsid w:val="001B60B2"/>
    <w:rsid w:val="001C66CD"/>
    <w:rsid w:val="001D7376"/>
    <w:rsid w:val="001F0F88"/>
    <w:rsid w:val="001F5F9E"/>
    <w:rsid w:val="001F77E4"/>
    <w:rsid w:val="00211168"/>
    <w:rsid w:val="002176AF"/>
    <w:rsid w:val="00224737"/>
    <w:rsid w:val="002268C8"/>
    <w:rsid w:val="00230C86"/>
    <w:rsid w:val="002361A3"/>
    <w:rsid w:val="0024313B"/>
    <w:rsid w:val="00246BFF"/>
    <w:rsid w:val="00270C0C"/>
    <w:rsid w:val="00272076"/>
    <w:rsid w:val="002737F1"/>
    <w:rsid w:val="00282052"/>
    <w:rsid w:val="00284292"/>
    <w:rsid w:val="00287714"/>
    <w:rsid w:val="00297CF0"/>
    <w:rsid w:val="002A0DD8"/>
    <w:rsid w:val="002B4679"/>
    <w:rsid w:val="002C6C84"/>
    <w:rsid w:val="002D057F"/>
    <w:rsid w:val="002F0C56"/>
    <w:rsid w:val="002F35F1"/>
    <w:rsid w:val="003010A6"/>
    <w:rsid w:val="003433A7"/>
    <w:rsid w:val="00362EBA"/>
    <w:rsid w:val="00374C1C"/>
    <w:rsid w:val="00374C62"/>
    <w:rsid w:val="003915EB"/>
    <w:rsid w:val="00396EF1"/>
    <w:rsid w:val="003A2926"/>
    <w:rsid w:val="003D1460"/>
    <w:rsid w:val="003D4D56"/>
    <w:rsid w:val="003D632F"/>
    <w:rsid w:val="003E21C0"/>
    <w:rsid w:val="003E349F"/>
    <w:rsid w:val="003E4C7C"/>
    <w:rsid w:val="003E5791"/>
    <w:rsid w:val="00411EC4"/>
    <w:rsid w:val="004159BE"/>
    <w:rsid w:val="0041762D"/>
    <w:rsid w:val="00423C1F"/>
    <w:rsid w:val="00427319"/>
    <w:rsid w:val="00443573"/>
    <w:rsid w:val="00451D84"/>
    <w:rsid w:val="00452D88"/>
    <w:rsid w:val="00452FF5"/>
    <w:rsid w:val="00453B5C"/>
    <w:rsid w:val="0046087C"/>
    <w:rsid w:val="00473C41"/>
    <w:rsid w:val="004851AD"/>
    <w:rsid w:val="004929E3"/>
    <w:rsid w:val="004A1412"/>
    <w:rsid w:val="004A5301"/>
    <w:rsid w:val="004B689A"/>
    <w:rsid w:val="004C08CC"/>
    <w:rsid w:val="004C41BC"/>
    <w:rsid w:val="004E0333"/>
    <w:rsid w:val="004E33F2"/>
    <w:rsid w:val="005050DE"/>
    <w:rsid w:val="00505987"/>
    <w:rsid w:val="00507C6D"/>
    <w:rsid w:val="005116A5"/>
    <w:rsid w:val="00512B68"/>
    <w:rsid w:val="00513975"/>
    <w:rsid w:val="00526FA3"/>
    <w:rsid w:val="005370C4"/>
    <w:rsid w:val="005374A4"/>
    <w:rsid w:val="00577294"/>
    <w:rsid w:val="005843BC"/>
    <w:rsid w:val="005959D4"/>
    <w:rsid w:val="005A192B"/>
    <w:rsid w:val="005B47FB"/>
    <w:rsid w:val="005C1B9B"/>
    <w:rsid w:val="005D31B8"/>
    <w:rsid w:val="005E71D6"/>
    <w:rsid w:val="006023DE"/>
    <w:rsid w:val="00604140"/>
    <w:rsid w:val="00605BC5"/>
    <w:rsid w:val="00605C85"/>
    <w:rsid w:val="00607F17"/>
    <w:rsid w:val="00624A11"/>
    <w:rsid w:val="00642532"/>
    <w:rsid w:val="00644FE2"/>
    <w:rsid w:val="00645C43"/>
    <w:rsid w:val="00656B2E"/>
    <w:rsid w:val="00667AE2"/>
    <w:rsid w:val="00670345"/>
    <w:rsid w:val="006738A3"/>
    <w:rsid w:val="0068429B"/>
    <w:rsid w:val="00685C83"/>
    <w:rsid w:val="00686882"/>
    <w:rsid w:val="006A655D"/>
    <w:rsid w:val="006B42D6"/>
    <w:rsid w:val="006B52BA"/>
    <w:rsid w:val="006C2EF2"/>
    <w:rsid w:val="006C44AD"/>
    <w:rsid w:val="006C605D"/>
    <w:rsid w:val="006D1AE9"/>
    <w:rsid w:val="006D1D6F"/>
    <w:rsid w:val="006D2D63"/>
    <w:rsid w:val="006E099C"/>
    <w:rsid w:val="006E1F3D"/>
    <w:rsid w:val="006E28FF"/>
    <w:rsid w:val="006F0F7C"/>
    <w:rsid w:val="006F2A50"/>
    <w:rsid w:val="006F7262"/>
    <w:rsid w:val="00710A01"/>
    <w:rsid w:val="00712947"/>
    <w:rsid w:val="00731F04"/>
    <w:rsid w:val="00745C8C"/>
    <w:rsid w:val="00754DA0"/>
    <w:rsid w:val="0075736F"/>
    <w:rsid w:val="0077382A"/>
    <w:rsid w:val="00777899"/>
    <w:rsid w:val="00785612"/>
    <w:rsid w:val="007A5687"/>
    <w:rsid w:val="007A7E9E"/>
    <w:rsid w:val="007B7E8A"/>
    <w:rsid w:val="007C5127"/>
    <w:rsid w:val="007D156A"/>
    <w:rsid w:val="007D3A41"/>
    <w:rsid w:val="007E01F3"/>
    <w:rsid w:val="007E2549"/>
    <w:rsid w:val="007E60EF"/>
    <w:rsid w:val="007F73C4"/>
    <w:rsid w:val="008052C7"/>
    <w:rsid w:val="00806D1F"/>
    <w:rsid w:val="00810B1E"/>
    <w:rsid w:val="00812D59"/>
    <w:rsid w:val="00816F96"/>
    <w:rsid w:val="00825B4C"/>
    <w:rsid w:val="00827E63"/>
    <w:rsid w:val="00846043"/>
    <w:rsid w:val="00850682"/>
    <w:rsid w:val="00852B6A"/>
    <w:rsid w:val="0087460C"/>
    <w:rsid w:val="00881881"/>
    <w:rsid w:val="008A6E51"/>
    <w:rsid w:val="008B1640"/>
    <w:rsid w:val="008F3BDD"/>
    <w:rsid w:val="008F4B2A"/>
    <w:rsid w:val="008F6D4B"/>
    <w:rsid w:val="009022F8"/>
    <w:rsid w:val="00902365"/>
    <w:rsid w:val="0090586C"/>
    <w:rsid w:val="0090794D"/>
    <w:rsid w:val="009108E5"/>
    <w:rsid w:val="00924880"/>
    <w:rsid w:val="009262FF"/>
    <w:rsid w:val="0093785F"/>
    <w:rsid w:val="0094290E"/>
    <w:rsid w:val="00946FA2"/>
    <w:rsid w:val="009606D5"/>
    <w:rsid w:val="00966F91"/>
    <w:rsid w:val="009708BC"/>
    <w:rsid w:val="00973558"/>
    <w:rsid w:val="00991214"/>
    <w:rsid w:val="00993881"/>
    <w:rsid w:val="009A0A5A"/>
    <w:rsid w:val="009B7252"/>
    <w:rsid w:val="009B79D2"/>
    <w:rsid w:val="00A02BC0"/>
    <w:rsid w:val="00A02C99"/>
    <w:rsid w:val="00A03C0C"/>
    <w:rsid w:val="00A11E26"/>
    <w:rsid w:val="00A22400"/>
    <w:rsid w:val="00A2399C"/>
    <w:rsid w:val="00A26151"/>
    <w:rsid w:val="00A32961"/>
    <w:rsid w:val="00A33E98"/>
    <w:rsid w:val="00A34BB0"/>
    <w:rsid w:val="00A34DDB"/>
    <w:rsid w:val="00A352E0"/>
    <w:rsid w:val="00A35EF1"/>
    <w:rsid w:val="00A42222"/>
    <w:rsid w:val="00A72398"/>
    <w:rsid w:val="00A91150"/>
    <w:rsid w:val="00A94C13"/>
    <w:rsid w:val="00A97724"/>
    <w:rsid w:val="00A97FF8"/>
    <w:rsid w:val="00AA0A90"/>
    <w:rsid w:val="00AC0300"/>
    <w:rsid w:val="00AC7017"/>
    <w:rsid w:val="00AC7BD1"/>
    <w:rsid w:val="00AE08BC"/>
    <w:rsid w:val="00AE41B5"/>
    <w:rsid w:val="00AF1350"/>
    <w:rsid w:val="00AF3C54"/>
    <w:rsid w:val="00AF4CF4"/>
    <w:rsid w:val="00B07623"/>
    <w:rsid w:val="00B1043C"/>
    <w:rsid w:val="00B23F5C"/>
    <w:rsid w:val="00B30478"/>
    <w:rsid w:val="00B31126"/>
    <w:rsid w:val="00B32CE8"/>
    <w:rsid w:val="00B5194E"/>
    <w:rsid w:val="00B54826"/>
    <w:rsid w:val="00B5557D"/>
    <w:rsid w:val="00B57BD3"/>
    <w:rsid w:val="00B804C1"/>
    <w:rsid w:val="00B81C44"/>
    <w:rsid w:val="00B82AA8"/>
    <w:rsid w:val="00BA078A"/>
    <w:rsid w:val="00BC0C86"/>
    <w:rsid w:val="00BD0173"/>
    <w:rsid w:val="00BD6B59"/>
    <w:rsid w:val="00BE22D6"/>
    <w:rsid w:val="00BE3AFC"/>
    <w:rsid w:val="00C05C7E"/>
    <w:rsid w:val="00C20B79"/>
    <w:rsid w:val="00C24066"/>
    <w:rsid w:val="00C25AED"/>
    <w:rsid w:val="00C3011D"/>
    <w:rsid w:val="00C3109F"/>
    <w:rsid w:val="00C419E7"/>
    <w:rsid w:val="00C47026"/>
    <w:rsid w:val="00C6024F"/>
    <w:rsid w:val="00C63758"/>
    <w:rsid w:val="00C6564C"/>
    <w:rsid w:val="00C70F27"/>
    <w:rsid w:val="00C7618F"/>
    <w:rsid w:val="00C87323"/>
    <w:rsid w:val="00C90050"/>
    <w:rsid w:val="00C949F1"/>
    <w:rsid w:val="00CA7A1D"/>
    <w:rsid w:val="00CC30B5"/>
    <w:rsid w:val="00CC3246"/>
    <w:rsid w:val="00CC6E54"/>
    <w:rsid w:val="00CD1844"/>
    <w:rsid w:val="00CD4B2D"/>
    <w:rsid w:val="00CE182C"/>
    <w:rsid w:val="00CE2EE3"/>
    <w:rsid w:val="00CE3A1C"/>
    <w:rsid w:val="00CE470D"/>
    <w:rsid w:val="00CF017D"/>
    <w:rsid w:val="00CF41E4"/>
    <w:rsid w:val="00D077BA"/>
    <w:rsid w:val="00D104C5"/>
    <w:rsid w:val="00D117BF"/>
    <w:rsid w:val="00D240C0"/>
    <w:rsid w:val="00D24986"/>
    <w:rsid w:val="00D25AAA"/>
    <w:rsid w:val="00D272F6"/>
    <w:rsid w:val="00D30463"/>
    <w:rsid w:val="00D40C4F"/>
    <w:rsid w:val="00D50E8A"/>
    <w:rsid w:val="00D53410"/>
    <w:rsid w:val="00D66EA3"/>
    <w:rsid w:val="00D83C66"/>
    <w:rsid w:val="00D85989"/>
    <w:rsid w:val="00D914E5"/>
    <w:rsid w:val="00D97E83"/>
    <w:rsid w:val="00DB3097"/>
    <w:rsid w:val="00DD42AC"/>
    <w:rsid w:val="00DD58B6"/>
    <w:rsid w:val="00DD6DE0"/>
    <w:rsid w:val="00DE0762"/>
    <w:rsid w:val="00DE4C8C"/>
    <w:rsid w:val="00DF413F"/>
    <w:rsid w:val="00E12C25"/>
    <w:rsid w:val="00E24C1E"/>
    <w:rsid w:val="00E37A0C"/>
    <w:rsid w:val="00E603AA"/>
    <w:rsid w:val="00E82061"/>
    <w:rsid w:val="00E93248"/>
    <w:rsid w:val="00E93556"/>
    <w:rsid w:val="00EA529D"/>
    <w:rsid w:val="00EC4AD2"/>
    <w:rsid w:val="00EC70D8"/>
    <w:rsid w:val="00ED3D18"/>
    <w:rsid w:val="00ED4A81"/>
    <w:rsid w:val="00ED7329"/>
    <w:rsid w:val="00EE173B"/>
    <w:rsid w:val="00EF55DB"/>
    <w:rsid w:val="00F0574B"/>
    <w:rsid w:val="00F12072"/>
    <w:rsid w:val="00F121CC"/>
    <w:rsid w:val="00F139B3"/>
    <w:rsid w:val="00F14040"/>
    <w:rsid w:val="00F21E08"/>
    <w:rsid w:val="00F24D6D"/>
    <w:rsid w:val="00F250C3"/>
    <w:rsid w:val="00F41B49"/>
    <w:rsid w:val="00F41E35"/>
    <w:rsid w:val="00F5371E"/>
    <w:rsid w:val="00F60FDD"/>
    <w:rsid w:val="00F6700E"/>
    <w:rsid w:val="00F95467"/>
    <w:rsid w:val="00FA066D"/>
    <w:rsid w:val="00FA338C"/>
    <w:rsid w:val="00FF7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21875"/>
  <w15:docId w15:val="{F373FE31-A015-4280-9D67-B879454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66CD"/>
  </w:style>
  <w:style w:type="paragraph" w:styleId="berschrift1">
    <w:name w:val="heading 1"/>
    <w:basedOn w:val="Standard"/>
    <w:next w:val="Standard"/>
    <w:link w:val="berschrift1Zchn"/>
    <w:qFormat/>
    <w:rsid w:val="004929E3"/>
    <w:pPr>
      <w:keepNext/>
      <w:keepLines/>
      <w:spacing w:before="240"/>
      <w:outlineLvl w:val="0"/>
    </w:pPr>
    <w:rPr>
      <w:rFonts w:ascii="Ubuntu" w:eastAsiaTheme="majorEastAsia" w:hAnsi="Ubuntu" w:cstheme="majorBidi"/>
      <w:color w:val="0D1329" w:themeColor="accent1" w:themeShade="BF"/>
      <w:sz w:val="32"/>
      <w:szCs w:val="32"/>
    </w:rPr>
  </w:style>
  <w:style w:type="paragraph" w:styleId="berschrift3">
    <w:name w:val="heading 3"/>
    <w:basedOn w:val="Standard"/>
    <w:next w:val="Standard"/>
    <w:qFormat/>
    <w:rsid w:val="004929E3"/>
    <w:pPr>
      <w:keepNext/>
      <w:outlineLvl w:val="2"/>
    </w:pPr>
    <w:rPr>
      <w:rFonts w:ascii="Ubuntu" w:hAnsi="Ubuntu"/>
      <w:b/>
      <w:color w:val="000000"/>
      <w:sz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buntuLS1">
    <w:name w:val="Ubuntu LS 1"/>
    <w:basedOn w:val="Standard"/>
    <w:qFormat/>
    <w:rsid w:val="004929E3"/>
    <w:pPr>
      <w:jc w:val="right"/>
    </w:pPr>
    <w:rPr>
      <w:rFonts w:ascii="Ubuntu" w:hAnsi="Ubuntu"/>
      <w:b/>
      <w:bCs/>
      <w:sz w:val="18"/>
    </w:rPr>
  </w:style>
  <w:style w:type="paragraph" w:customStyle="1" w:styleId="UbuntuLS115">
    <w:name w:val="Ubuntu LS 1.15"/>
    <w:basedOn w:val="Standard"/>
    <w:qFormat/>
    <w:rsid w:val="0046087C"/>
    <w:pPr>
      <w:jc w:val="center"/>
    </w:pPr>
    <w:rPr>
      <w:rFonts w:ascii="Ubuntu" w:hAnsi="Ubuntu"/>
      <w:b/>
      <w:bCs/>
      <w:sz w:val="22"/>
      <w:szCs w:val="22"/>
    </w:rPr>
  </w:style>
  <w:style w:type="paragraph" w:customStyle="1" w:styleId="LS13">
    <w:name w:val="LS 1.3"/>
    <w:basedOn w:val="Standard"/>
    <w:qFormat/>
    <w:rsid w:val="0046087C"/>
    <w:rPr>
      <w:rFonts w:ascii="Ubuntu" w:hAnsi="Ubuntu"/>
      <w:b/>
      <w:bCs/>
      <w:sz w:val="18"/>
      <w:szCs w:val="18"/>
    </w:rPr>
  </w:style>
  <w:style w:type="paragraph" w:styleId="Listenabsatz">
    <w:name w:val="List Paragraph"/>
    <w:basedOn w:val="Standard"/>
    <w:uiPriority w:val="34"/>
    <w:qFormat/>
    <w:rsid w:val="0046087C"/>
    <w:pPr>
      <w:ind w:left="720"/>
      <w:contextualSpacing/>
    </w:pPr>
    <w:rPr>
      <w:rFonts w:ascii="Ubuntu" w:hAnsi="Ubuntu"/>
      <w:sz w:val="18"/>
    </w:rPr>
  </w:style>
  <w:style w:type="paragraph" w:styleId="Kopfzeile">
    <w:name w:val="header"/>
    <w:basedOn w:val="Standard"/>
    <w:link w:val="KopfzeileZchn"/>
    <w:unhideWhenUsed/>
    <w:rsid w:val="0046087C"/>
    <w:pPr>
      <w:tabs>
        <w:tab w:val="center" w:pos="4513"/>
        <w:tab w:val="right" w:pos="9026"/>
      </w:tabs>
    </w:pPr>
    <w:rPr>
      <w:rFonts w:ascii="Ubuntu" w:hAnsi="Ubuntu"/>
      <w:sz w:val="18"/>
    </w:rPr>
  </w:style>
  <w:style w:type="table" w:styleId="Tabellenraster">
    <w:name w:val="Table Grid"/>
    <w:basedOn w:val="NormaleTabelle"/>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24737"/>
    <w:rPr>
      <w:rFonts w:ascii="Ubuntu" w:hAnsi="Ubuntu"/>
      <w:sz w:val="18"/>
    </w:rPr>
  </w:style>
  <w:style w:type="character" w:styleId="Funotenzeichen">
    <w:name w:val="footnote reference"/>
    <w:basedOn w:val="Absatz-Standardschriftart"/>
    <w:uiPriority w:val="99"/>
    <w:semiHidden/>
    <w:rsid w:val="00224737"/>
    <w:rPr>
      <w:vertAlign w:val="superscript"/>
    </w:rPr>
  </w:style>
  <w:style w:type="paragraph" w:styleId="Sprechblasentext">
    <w:name w:val="Balloon Text"/>
    <w:basedOn w:val="Standard"/>
    <w:semiHidden/>
    <w:rsid w:val="00A97724"/>
    <w:rPr>
      <w:rFonts w:ascii="Tahoma" w:hAnsi="Tahoma" w:cs="Tahoma"/>
      <w:sz w:val="16"/>
      <w:szCs w:val="16"/>
    </w:rPr>
  </w:style>
  <w:style w:type="character" w:customStyle="1" w:styleId="KopfzeileZchn">
    <w:name w:val="Kopfzeile Zchn"/>
    <w:basedOn w:val="Absatz-Standardschriftart"/>
    <w:link w:val="Kopfzeile"/>
    <w:rsid w:val="0046087C"/>
    <w:rPr>
      <w:rFonts w:ascii="Ubuntu" w:hAnsi="Ubuntu"/>
      <w:sz w:val="18"/>
    </w:rPr>
  </w:style>
  <w:style w:type="paragraph" w:styleId="Fuzeile">
    <w:name w:val="footer"/>
    <w:basedOn w:val="Standard"/>
    <w:link w:val="FuzeileZchn"/>
    <w:unhideWhenUsed/>
    <w:rsid w:val="0046087C"/>
    <w:pPr>
      <w:tabs>
        <w:tab w:val="center" w:pos="4513"/>
        <w:tab w:val="right" w:pos="9026"/>
      </w:tabs>
    </w:pPr>
    <w:rPr>
      <w:rFonts w:ascii="Ubuntu" w:hAnsi="Ubuntu"/>
      <w:sz w:val="18"/>
    </w:rPr>
  </w:style>
  <w:style w:type="character" w:customStyle="1" w:styleId="FuzeileZchn">
    <w:name w:val="Fußzeile Zchn"/>
    <w:basedOn w:val="Absatz-Standardschriftart"/>
    <w:link w:val="Fuzeile"/>
    <w:rsid w:val="0046087C"/>
    <w:rPr>
      <w:rFonts w:ascii="Ubuntu" w:hAnsi="Ubuntu"/>
      <w:sz w:val="18"/>
    </w:rPr>
  </w:style>
  <w:style w:type="paragraph" w:customStyle="1" w:styleId="StyleStyleBodyUbuntuMedium10pt">
    <w:name w:val="Style Style +Body (Ubuntu Medium) 10 pt"/>
    <w:basedOn w:val="Standard"/>
    <w:rsid w:val="004929E3"/>
    <w:pPr>
      <w:spacing w:line="312" w:lineRule="auto"/>
      <w:jc w:val="both"/>
    </w:pPr>
    <w:rPr>
      <w:rFonts w:ascii="Ubuntu Medium" w:hAnsi="Ubuntu Medium"/>
      <w:sz w:val="18"/>
    </w:rPr>
  </w:style>
  <w:style w:type="character" w:customStyle="1" w:styleId="berschrift1Zchn">
    <w:name w:val="Überschrift 1 Zchn"/>
    <w:basedOn w:val="Absatz-Standardschriftart"/>
    <w:link w:val="berschrift1"/>
    <w:rsid w:val="004929E3"/>
    <w:rPr>
      <w:rFonts w:ascii="Ubuntu" w:eastAsiaTheme="majorEastAsia" w:hAnsi="Ubuntu" w:cstheme="majorBidi"/>
      <w:color w:val="0D1329" w:themeColor="accent1" w:themeShade="BF"/>
      <w:sz w:val="32"/>
      <w:szCs w:val="32"/>
    </w:rPr>
  </w:style>
  <w:style w:type="paragraph" w:customStyle="1" w:styleId="BodytextLS115">
    <w:name w:val="Body text LS 1.15"/>
    <w:basedOn w:val="UbuntuLS115"/>
    <w:qFormat/>
    <w:rsid w:val="002737F1"/>
    <w:pPr>
      <w:spacing w:line="276" w:lineRule="auto"/>
    </w:pPr>
  </w:style>
  <w:style w:type="paragraph" w:customStyle="1" w:styleId="BodytextLS1">
    <w:name w:val="Body text LS 1"/>
    <w:basedOn w:val="Standard"/>
    <w:qFormat/>
    <w:rsid w:val="002737F1"/>
    <w:pPr>
      <w:jc w:val="right"/>
    </w:pPr>
    <w:rPr>
      <w:rFonts w:ascii="Ubuntu" w:hAnsi="Ubuntu"/>
      <w:b/>
      <w:bCs/>
      <w:sz w:val="18"/>
    </w:rPr>
  </w:style>
  <w:style w:type="paragraph" w:customStyle="1" w:styleId="BodyText1">
    <w:name w:val="Body Text1"/>
    <w:basedOn w:val="Standard"/>
    <w:qFormat/>
    <w:rsid w:val="00605BC5"/>
    <w:rPr>
      <w:rFonts w:ascii="Ubuntu" w:hAnsi="Ubuntu"/>
      <w:sz w:val="18"/>
    </w:rPr>
  </w:style>
  <w:style w:type="paragraph" w:customStyle="1" w:styleId="BodytextLS13">
    <w:name w:val="Body text LS 1.3"/>
    <w:basedOn w:val="LS13"/>
    <w:qFormat/>
    <w:rsid w:val="00605BC5"/>
    <w:pPr>
      <w:spacing w:line="312" w:lineRule="auto"/>
    </w:pPr>
  </w:style>
  <w:style w:type="paragraph" w:styleId="berarbeitung">
    <w:name w:val="Revision"/>
    <w:hidden/>
    <w:uiPriority w:val="99"/>
    <w:semiHidden/>
    <w:rsid w:val="005370C4"/>
    <w:rPr>
      <w:rFonts w:ascii="Ubuntu" w:hAnsi="Ubuntu"/>
      <w:sz w:val="18"/>
    </w:rPr>
  </w:style>
  <w:style w:type="paragraph" w:customStyle="1" w:styleId="FooterLS1">
    <w:name w:val="Footer LS 1"/>
    <w:basedOn w:val="BodytextLS1"/>
    <w:qFormat/>
    <w:rsid w:val="004159BE"/>
    <w:pPr>
      <w:jc w:val="left"/>
    </w:pPr>
    <w:rPr>
      <w:b w:val="0"/>
      <w:bCs w:val="0"/>
      <w:i/>
      <w:iCs/>
    </w:rPr>
  </w:style>
  <w:style w:type="character" w:styleId="Hyperlink">
    <w:name w:val="Hyperlink"/>
    <w:basedOn w:val="Absatz-Standardschriftart"/>
    <w:uiPriority w:val="99"/>
    <w:unhideWhenUsed/>
    <w:rsid w:val="00745C8C"/>
    <w:rPr>
      <w:color w:val="D4D3F1" w:themeColor="hyperlink"/>
      <w:u w:val="single"/>
    </w:rPr>
  </w:style>
  <w:style w:type="character" w:styleId="NichtaufgelsteErwhnung">
    <w:name w:val="Unresolved Mention"/>
    <w:basedOn w:val="Absatz-Standardschriftart"/>
    <w:uiPriority w:val="99"/>
    <w:semiHidden/>
    <w:unhideWhenUsed/>
    <w:rsid w:val="00745C8C"/>
    <w:rPr>
      <w:color w:val="605E5C"/>
      <w:shd w:val="clear" w:color="auto" w:fill="E1DFDD"/>
    </w:rPr>
  </w:style>
  <w:style w:type="character" w:styleId="Kommentarzeichen">
    <w:name w:val="annotation reference"/>
    <w:basedOn w:val="Absatz-Standardschriftart"/>
    <w:semiHidden/>
    <w:unhideWhenUsed/>
    <w:rsid w:val="00C25AED"/>
    <w:rPr>
      <w:sz w:val="16"/>
      <w:szCs w:val="16"/>
    </w:rPr>
  </w:style>
  <w:style w:type="paragraph" w:styleId="Kommentartext">
    <w:name w:val="annotation text"/>
    <w:basedOn w:val="Standard"/>
    <w:link w:val="KommentartextZchn"/>
    <w:unhideWhenUsed/>
    <w:rsid w:val="00C25AED"/>
    <w:rPr>
      <w:rFonts w:ascii="Ubuntu" w:hAnsi="Ubuntu"/>
    </w:rPr>
  </w:style>
  <w:style w:type="character" w:customStyle="1" w:styleId="KommentartextZchn">
    <w:name w:val="Kommentartext Zchn"/>
    <w:basedOn w:val="Absatz-Standardschriftart"/>
    <w:link w:val="Kommentartext"/>
    <w:rsid w:val="00C25AED"/>
    <w:rPr>
      <w:rFonts w:ascii="Ubuntu" w:hAnsi="Ubuntu"/>
    </w:rPr>
  </w:style>
  <w:style w:type="paragraph" w:styleId="Kommentarthema">
    <w:name w:val="annotation subject"/>
    <w:basedOn w:val="Kommentartext"/>
    <w:next w:val="Kommentartext"/>
    <w:link w:val="KommentarthemaZchn"/>
    <w:semiHidden/>
    <w:unhideWhenUsed/>
    <w:rsid w:val="00C25AED"/>
    <w:rPr>
      <w:b/>
      <w:bCs/>
    </w:rPr>
  </w:style>
  <w:style w:type="character" w:customStyle="1" w:styleId="KommentarthemaZchn">
    <w:name w:val="Kommentarthema Zchn"/>
    <w:basedOn w:val="KommentartextZchn"/>
    <w:link w:val="Kommentarthema"/>
    <w:semiHidden/>
    <w:rsid w:val="00C25AED"/>
    <w:rPr>
      <w:rFonts w:ascii="Ubuntu" w:hAnsi="Ubuntu"/>
      <w:b/>
      <w:bCs/>
    </w:rPr>
  </w:style>
  <w:style w:type="character" w:customStyle="1" w:styleId="FunotentextZchn">
    <w:name w:val="Fußnotentext Zchn"/>
    <w:basedOn w:val="Absatz-Standardschriftart"/>
    <w:link w:val="Funotentext"/>
    <w:semiHidden/>
    <w:rsid w:val="001C66CD"/>
    <w:rPr>
      <w:rFonts w:ascii="Ubuntu" w:hAnsi="Ubuntu"/>
      <w:sz w:val="18"/>
    </w:rPr>
  </w:style>
  <w:style w:type="character" w:customStyle="1" w:styleId="null1">
    <w:name w:val="null1"/>
    <w:basedOn w:val="Absatz-Standardschriftart"/>
    <w:rsid w:val="001C66CD"/>
  </w:style>
  <w:style w:type="paragraph" w:customStyle="1" w:styleId="null">
    <w:name w:val="null"/>
    <w:basedOn w:val="Standard"/>
    <w:rsid w:val="00D914E5"/>
    <w:pPr>
      <w:spacing w:before="100" w:beforeAutospacing="1" w:after="100" w:afterAutospacing="1"/>
    </w:pPr>
    <w:rPr>
      <w:rFonts w:ascii="Calibri" w:eastAsiaTheme="minorHAnsi" w:hAnsi="Calibri" w:cs="Calibri"/>
      <w:sz w:val="22"/>
      <w:szCs w:val="22"/>
    </w:rPr>
  </w:style>
  <w:style w:type="character" w:styleId="BesuchterLink">
    <w:name w:val="FollowedHyperlink"/>
    <w:basedOn w:val="Absatz-Standardschriftart"/>
    <w:semiHidden/>
    <w:unhideWhenUsed/>
    <w:rsid w:val="00F21E08"/>
    <w:rPr>
      <w:color w:val="00828E" w:themeColor="followedHyperlink"/>
      <w:u w:val="single"/>
    </w:rPr>
  </w:style>
  <w:style w:type="character" w:customStyle="1" w:styleId="BodyTextUbuntu9pt">
    <w:name w:val="Body Text + Ubuntu 9 pt"/>
    <w:basedOn w:val="Absatz-Standardschriftart"/>
    <w:rsid w:val="00EC70D8"/>
    <w:rPr>
      <w:rFonts w:ascii="Ubuntu" w:hAnsi="Ubuntu"/>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apgemini.com/at-de/news/press-releases/banken-und-versicherungen-setzen-ki-agenten-ein-um-betrug-zu-bekampfen-und-antrage-zu-bearbeiten-und-planen-neue-rollen-zur-beaufsichtigung-der-ki/" TargetMode="External"/><Relationship Id="rId17" Type="http://schemas.openxmlformats.org/officeDocument/2006/relationships/hyperlink" Target="http://www.capgemini.com/capgemini-research-institute-subscription" TargetMode="External"/><Relationship Id="rId2" Type="http://schemas.openxmlformats.org/officeDocument/2006/relationships/customXml" Target="../customXml/item2.xml"/><Relationship Id="rId16" Type="http://schemas.openxmlformats.org/officeDocument/2006/relationships/hyperlink" Target="https://www.capgemini.com/de-de/insights/capgemini-research-institu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brandner@reiterpr.com" TargetMode="External"/><Relationship Id="rId5" Type="http://schemas.openxmlformats.org/officeDocument/2006/relationships/numbering" Target="numbering.xml"/><Relationship Id="rId15" Type="http://schemas.openxmlformats.org/officeDocument/2006/relationships/hyperlink" Target="http://www.capgemini.com/at-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de-de/insights/research/world-cloud-repor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apgemini.com/insights/research-library/ai-agents/" TargetMode="External"/><Relationship Id="rId1" Type="http://schemas.openxmlformats.org/officeDocument/2006/relationships/hyperlink" Target="https://www.capgemini.com/insights/research-library/ai-ag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New CG color">
      <a:dk1>
        <a:sysClr val="windowText" lastClr="000000"/>
      </a:dk1>
      <a:lt1>
        <a:srgbClr val="FFFFFF"/>
      </a:lt1>
      <a:dk2>
        <a:srgbClr val="000000"/>
      </a:dk2>
      <a:lt2>
        <a:srgbClr val="FFFFFF"/>
      </a:lt2>
      <a:accent1>
        <a:srgbClr val="121A38"/>
      </a:accent1>
      <a:accent2>
        <a:srgbClr val="0058AB"/>
      </a:accent2>
      <a:accent3>
        <a:srgbClr val="1DB8F2"/>
      </a:accent3>
      <a:accent4>
        <a:srgbClr val="00D5D0"/>
      </a:accent4>
      <a:accent5>
        <a:srgbClr val="FEB100"/>
      </a:accent5>
      <a:accent6>
        <a:srgbClr val="FF816E"/>
      </a:accent6>
      <a:hlink>
        <a:srgbClr val="D4D3F1"/>
      </a:hlink>
      <a:folHlink>
        <a:srgbClr val="00828E"/>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f82d1b-cdef-48b1-8008-eb8b2d0b3ba2">
      <Terms xmlns="http://schemas.microsoft.com/office/infopath/2007/PartnerControls"/>
    </lcf76f155ced4ddcb4097134ff3c332f>
    <TaxCatchAll xmlns="c7ab0dc1-0346-4d05-8900-c045d28fa29e" xsi:nil="true"/>
    <Datum xmlns="21f82d1b-cdef-48b1-8008-eb8b2d0b3b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BAB1-AEAB-46E7-91E1-A13B7639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E50E9-9B03-4C78-9408-DE45F2147558}">
  <ds:schemaRefs>
    <ds:schemaRef ds:uri="http://schemas.microsoft.com/sharepoint/v3/contenttype/forms"/>
  </ds:schemaRefs>
</ds:datastoreItem>
</file>

<file path=customXml/itemProps3.xml><?xml version="1.0" encoding="utf-8"?>
<ds:datastoreItem xmlns:ds="http://schemas.openxmlformats.org/officeDocument/2006/customXml" ds:itemID="{3925B43B-A89B-4215-95A8-777ECDFF8F65}">
  <ds:schemaRefs>
    <ds:schemaRef ds:uri="http://schemas.microsoft.com/office/2006/metadata/properties"/>
    <ds:schemaRef ds:uri="http://schemas.microsoft.com/office/infopath/2007/PartnerControls"/>
    <ds:schemaRef ds:uri="21f82d1b-cdef-48b1-8008-eb8b2d0b3ba2"/>
    <ds:schemaRef ds:uri="c7ab0dc1-0346-4d05-8900-c045d28fa29e"/>
  </ds:schemaRefs>
</ds:datastoreItem>
</file>

<file path=customXml/itemProps4.xml><?xml version="1.0" encoding="utf-8"?>
<ds:datastoreItem xmlns:ds="http://schemas.openxmlformats.org/officeDocument/2006/customXml" ds:itemID="{2B5BF6A7-0F0B-4D67-AEF2-B7039BAB7D59}">
  <ds:schemaRefs>
    <ds:schemaRef ds:uri="http://schemas.openxmlformats.org/officeDocument/2006/bibliography"/>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8217</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9502</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LIEVRE, Florence</dc:creator>
  <cp:keywords>, docId:3AF8F56EF73898EC6CB39FDA6D13EC12</cp:keywords>
  <cp:lastModifiedBy>Karin Brandner</cp:lastModifiedBy>
  <cp:revision>19</cp:revision>
  <cp:lastPrinted>2017-10-25T12:52:00Z</cp:lastPrinted>
  <dcterms:created xsi:type="dcterms:W3CDTF">2025-11-13T09:17:00Z</dcterms:created>
  <dcterms:modified xsi:type="dcterms:W3CDTF">2025-11-14T10:48:00Z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ediaServiceImageTags">
    <vt:lpwstr/>
  </property>
</Properties>
</file>