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81A9A5" w14:textId="77777777" w:rsidR="00BB5544" w:rsidRPr="00220A41" w:rsidRDefault="00BB5544">
      <w:pPr>
        <w:pStyle w:val="SubheadK"/>
        <w:rPr>
          <w:color w:val="000000"/>
          <w:sz w:val="20"/>
          <w:szCs w:val="20"/>
          <w:u w:color="000000"/>
        </w:rPr>
      </w:pPr>
      <w:bookmarkStart w:id="0" w:name="HEADLINE"/>
      <w:bookmarkEnd w:id="0"/>
    </w:p>
    <w:p w14:paraId="7955EBAA" w14:textId="77777777" w:rsidR="00BB5544" w:rsidRPr="00220A41" w:rsidRDefault="00BB5544">
      <w:pPr>
        <w:pStyle w:val="TitleK"/>
      </w:pPr>
    </w:p>
    <w:p w14:paraId="703ED8F5" w14:textId="77777777" w:rsidR="00BB5544" w:rsidRPr="00220A41" w:rsidRDefault="00617C9B">
      <w:pPr>
        <w:pStyle w:val="TitleK"/>
        <w:rPr>
          <w:sz w:val="56"/>
          <w:szCs w:val="56"/>
        </w:rPr>
      </w:pPr>
      <w:r w:rsidRPr="00220A41">
        <w:rPr>
          <w:sz w:val="56"/>
          <w:szCs w:val="56"/>
        </w:rPr>
        <w:t>Presse-Information</w:t>
      </w:r>
    </w:p>
    <w:p w14:paraId="3616271D" w14:textId="77777777" w:rsidR="00BB5544" w:rsidRPr="00220A41" w:rsidRDefault="00BB5544">
      <w:pPr>
        <w:pStyle w:val="BodyK"/>
        <w:rPr>
          <w:b/>
          <w:bCs/>
          <w:color w:val="C0167B"/>
          <w:sz w:val="48"/>
          <w:szCs w:val="48"/>
          <w:u w:color="C0167B"/>
        </w:rPr>
      </w:pPr>
    </w:p>
    <w:p w14:paraId="15F42621" w14:textId="22B337EF" w:rsidR="009C40B3" w:rsidRPr="00220A41" w:rsidRDefault="009C40B3" w:rsidP="009C40B3">
      <w:pPr>
        <w:pStyle w:val="SubheadK"/>
      </w:pPr>
      <w:r w:rsidRPr="00220A41">
        <w:t>Erster Quocirca ACT Report: Konica Minolta als führend bewertet</w:t>
      </w:r>
    </w:p>
    <w:p w14:paraId="284123A1" w14:textId="77777777" w:rsidR="00BB5544" w:rsidRPr="00220A41" w:rsidRDefault="00BB5544" w:rsidP="004A53CB">
      <w:pPr>
        <w:pStyle w:val="SubsubheadK"/>
        <w:ind w:left="0"/>
      </w:pPr>
    </w:p>
    <w:p w14:paraId="6238D80F" w14:textId="4A23FE13" w:rsidR="000D5CEF" w:rsidRPr="00220A41" w:rsidRDefault="00611B3B" w:rsidP="000D5CEF">
      <w:pPr>
        <w:pStyle w:val="SubsubheadK"/>
        <w:rPr>
          <w:b w:val="0"/>
          <w:bCs w:val="0"/>
          <w:color w:val="auto"/>
          <w:sz w:val="22"/>
          <w:szCs w:val="22"/>
        </w:rPr>
      </w:pPr>
      <w:r w:rsidRPr="00220A41">
        <w:t>Studie bewertet Automatisierung, Cloud und Technologie-Ökosysteme im Print-Umfeld</w:t>
      </w:r>
      <w:r w:rsidR="006A13DB" w:rsidRPr="00220A41">
        <w:br/>
      </w:r>
      <w:r w:rsidR="006A13DB" w:rsidRPr="00220A41">
        <w:br/>
      </w:r>
      <w:r w:rsidR="008A13F5" w:rsidRPr="00220A41">
        <w:rPr>
          <w:color w:val="auto"/>
          <w:sz w:val="22"/>
          <w:szCs w:val="22"/>
        </w:rPr>
        <w:t>Langenhagen</w:t>
      </w:r>
      <w:r w:rsidR="004A53CB" w:rsidRPr="00220A41">
        <w:rPr>
          <w:color w:val="auto"/>
          <w:sz w:val="22"/>
          <w:szCs w:val="22"/>
        </w:rPr>
        <w:t xml:space="preserve">, </w:t>
      </w:r>
      <w:r w:rsidR="00220A41" w:rsidRPr="00220A41">
        <w:rPr>
          <w:color w:val="auto"/>
          <w:sz w:val="22"/>
          <w:szCs w:val="22"/>
        </w:rPr>
        <w:t>2</w:t>
      </w:r>
      <w:r w:rsidR="004A53CB" w:rsidRPr="00220A41">
        <w:rPr>
          <w:color w:val="auto"/>
          <w:sz w:val="22"/>
          <w:szCs w:val="22"/>
        </w:rPr>
        <w:t>. Ju</w:t>
      </w:r>
      <w:r w:rsidR="009C40B3" w:rsidRPr="00220A41">
        <w:rPr>
          <w:color w:val="auto"/>
          <w:sz w:val="22"/>
          <w:szCs w:val="22"/>
        </w:rPr>
        <w:t>l</w:t>
      </w:r>
      <w:r w:rsidR="004A53CB" w:rsidRPr="00220A41">
        <w:rPr>
          <w:color w:val="auto"/>
          <w:sz w:val="22"/>
          <w:szCs w:val="22"/>
        </w:rPr>
        <w:t>i 2026 –</w:t>
      </w:r>
      <w:r w:rsidR="003D4B66" w:rsidRPr="00220A41">
        <w:rPr>
          <w:sz w:val="22"/>
          <w:szCs w:val="22"/>
        </w:rPr>
        <w:t xml:space="preserve"> </w:t>
      </w:r>
      <w:r w:rsidR="003D4B66" w:rsidRPr="00220A41">
        <w:rPr>
          <w:color w:val="auto"/>
          <w:sz w:val="22"/>
          <w:szCs w:val="22"/>
        </w:rPr>
        <w:t xml:space="preserve">Konica Minolta wurde im erstmals veröffentlichten </w:t>
      </w:r>
      <w:r w:rsidR="003D4B66" w:rsidRPr="00220A41">
        <w:rPr>
          <w:i/>
          <w:iCs/>
          <w:color w:val="auto"/>
          <w:sz w:val="22"/>
          <w:szCs w:val="22"/>
        </w:rPr>
        <w:t>Quocirca ACT: Print Industry Ecosystem Report 2026</w:t>
      </w:r>
      <w:r w:rsidR="003D4B66" w:rsidRPr="00220A41">
        <w:rPr>
          <w:color w:val="auto"/>
          <w:sz w:val="22"/>
          <w:szCs w:val="22"/>
        </w:rPr>
        <w:t xml:space="preserve"> als „Leader“ eingestuft. Der neue Report bewertet Anbieter anhand der drei Dimensionen Automatisierung und Künstliche Intelligenz, Cloud-Computing sowie Technologie-Ökosysteme. Quocirca würdigt Konica Minolta darin als Unternehmen, das sich von einem stark hardwareorientierten Anbieter zu einem Anbieter cloudbasierter, analysegetriebener und KI-gestützter Lösungen für den digitalen Arbeitsplatz entwickelt hat.</w:t>
      </w:r>
      <w:r w:rsidR="006A13DB" w:rsidRPr="00220A41">
        <w:rPr>
          <w:color w:val="auto"/>
          <w:sz w:val="22"/>
          <w:szCs w:val="22"/>
        </w:rPr>
        <w:br/>
      </w:r>
      <w:r w:rsidR="00A163F5" w:rsidRPr="00220A41">
        <w:rPr>
          <w:sz w:val="22"/>
          <w:szCs w:val="22"/>
        </w:rPr>
        <w:br/>
      </w:r>
      <w:r w:rsidR="003D4B66" w:rsidRPr="00220A41">
        <w:rPr>
          <w:b w:val="0"/>
          <w:bCs w:val="0"/>
          <w:color w:val="auto"/>
          <w:sz w:val="22"/>
          <w:szCs w:val="22"/>
        </w:rPr>
        <w:t>Drucken wird laut dem Marktanalyst nicht mehr als isolierte Einzeldisziplin betrachtet, sondern als integraler Bestandteil eines umfassenden Ökosystems für den digitalen Arbeitsplatz verstanden. Moderne Druckinfrastrukturen müssen sich nahtlos in Cloud-Plattformen, Sicherheitsarchitekturen und Lösungen zur Workflow-Automatisierung einfügen. Das neue ACT-Framework untersucht, wie gut Anbieter diese Anforderungen erfüllen und wie zukunftsfähig ihre strategische Ausrichtung ist.</w:t>
      </w:r>
      <w:r w:rsidR="000D5CEF" w:rsidRPr="00220A41">
        <w:rPr>
          <w:b w:val="0"/>
          <w:bCs w:val="0"/>
          <w:color w:val="auto"/>
          <w:sz w:val="22"/>
          <w:szCs w:val="22"/>
        </w:rPr>
        <w:br/>
      </w:r>
      <w:r w:rsidR="00D43E47" w:rsidRPr="00220A41">
        <w:rPr>
          <w:b w:val="0"/>
          <w:bCs w:val="0"/>
          <w:color w:val="auto"/>
          <w:sz w:val="22"/>
          <w:szCs w:val="22"/>
        </w:rPr>
        <w:br/>
      </w:r>
      <w:r w:rsidR="000D5CEF" w:rsidRPr="00220A41">
        <w:rPr>
          <w:b w:val="0"/>
          <w:bCs w:val="0"/>
          <w:color w:val="auto"/>
          <w:sz w:val="22"/>
          <w:szCs w:val="22"/>
        </w:rPr>
        <w:t>Konica Minolta wird im Report als „Leader“ eingestuft, weil das Unternehmen eine starke internationale Position rund um Automatisierung, Cloud und Technologie-Ökosysteme aufgebaut hat. Über das gesamte Portfolio hinweg verfolgt Konica Minolta eine konsequente Cloud-first-Strategie und versteht sich als Partner für Unternehmen und Organisationen, die ihren digitalen Arbeitsplatz transformieren möchten.</w:t>
      </w:r>
    </w:p>
    <w:p w14:paraId="474BE53D" w14:textId="38479E8B" w:rsidR="000357D2" w:rsidRPr="00220A41" w:rsidRDefault="000357D2" w:rsidP="000357D2">
      <w:pPr>
        <w:pStyle w:val="SubsubheadK"/>
        <w:rPr>
          <w:color w:val="auto"/>
          <w:sz w:val="22"/>
          <w:szCs w:val="22"/>
        </w:rPr>
      </w:pPr>
      <w:r w:rsidRPr="00220A41">
        <w:rPr>
          <w:color w:val="auto"/>
          <w:sz w:val="22"/>
          <w:szCs w:val="22"/>
        </w:rPr>
        <w:lastRenderedPageBreak/>
        <w:br/>
        <w:t>Automatisierung und Künstliche Intelligenz</w:t>
      </w:r>
      <w:r w:rsidRPr="00220A41">
        <w:rPr>
          <w:color w:val="auto"/>
          <w:sz w:val="22"/>
          <w:szCs w:val="22"/>
        </w:rPr>
        <w:br/>
      </w:r>
    </w:p>
    <w:p w14:paraId="5D3612D2" w14:textId="00FCEA4F" w:rsidR="00FF5C5B" w:rsidRPr="00220A41" w:rsidRDefault="00FF5C5B" w:rsidP="00FF5C5B">
      <w:pPr>
        <w:pStyle w:val="SubsubheadK"/>
        <w:rPr>
          <w:b w:val="0"/>
          <w:bCs w:val="0"/>
          <w:color w:val="auto"/>
          <w:sz w:val="22"/>
          <w:szCs w:val="22"/>
        </w:rPr>
      </w:pPr>
      <w:r w:rsidRPr="00220A41">
        <w:rPr>
          <w:b w:val="0"/>
          <w:bCs w:val="0"/>
          <w:color w:val="auto"/>
          <w:sz w:val="22"/>
          <w:szCs w:val="22"/>
        </w:rPr>
        <w:t>Begleitend zum Report hat Quocirca untersucht, in welchen Bereichen Unternehmen in Frankreich, Deutschland, Großbritannien und den USA den größten Nutzen von KI im Druckumfeld sehen. An erster Stelle steht die Reduzierung von Umweltauswirkungen mit 32 Prozent, gefolgt von der Automatisierung von Druck-Workflows mit 31 Prozent und der Optimierung des Toner- und Tintenverbrauchs mit 28 Prozent.</w:t>
      </w:r>
      <w:r w:rsidRPr="00220A41">
        <w:rPr>
          <w:b w:val="0"/>
          <w:bCs w:val="0"/>
          <w:color w:val="auto"/>
          <w:sz w:val="22"/>
          <w:szCs w:val="22"/>
        </w:rPr>
        <w:br/>
      </w:r>
    </w:p>
    <w:p w14:paraId="67DCFAFB" w14:textId="7E7CEA70" w:rsidR="000357D2" w:rsidRPr="00220A41" w:rsidRDefault="00FF5C5B" w:rsidP="00FF5C5B">
      <w:pPr>
        <w:pStyle w:val="SubsubheadK"/>
        <w:rPr>
          <w:b w:val="0"/>
          <w:bCs w:val="0"/>
          <w:color w:val="auto"/>
          <w:sz w:val="22"/>
          <w:szCs w:val="22"/>
        </w:rPr>
      </w:pPr>
      <w:r w:rsidRPr="00220A41">
        <w:rPr>
          <w:b w:val="0"/>
          <w:bCs w:val="0"/>
          <w:color w:val="auto"/>
          <w:sz w:val="22"/>
          <w:szCs w:val="22"/>
        </w:rPr>
        <w:t>Quocirca hebt hervor, dass KI bei Konica Minolta eine zentrale Rolle bei der Verbesserung der Datenverarbeitung, der Automatisierung von Workflows und der Bereitstellung prädiktiver Services spielt. Fortschrittliche KI-Funktionen sind in die Multifunktionssysteme integriert und ermöglichen Echtzeit-Monitoring, vorausschauende Wartung sowie intelligente Dokumentenverarbeitung. Darüber hinaus unterstützt KI die Geräte- und Dokumentensicherheit, etwa durch die frühzeitige Erkennung von Anomalien. Umweltanalysen schaffen zusätzliche Transparenz über Energie- und Verbrauchsmaterialeinsatz und zeigen Potenziale zur Senkung von Kosten und CO₂-Emissionen auf.</w:t>
      </w:r>
    </w:p>
    <w:p w14:paraId="6635D50D" w14:textId="77777777" w:rsidR="0026275B" w:rsidRPr="00220A41" w:rsidRDefault="0026275B" w:rsidP="00FF5C5B">
      <w:pPr>
        <w:pStyle w:val="SubsubheadK"/>
        <w:rPr>
          <w:b w:val="0"/>
          <w:bCs w:val="0"/>
          <w:color w:val="auto"/>
          <w:sz w:val="22"/>
          <w:szCs w:val="22"/>
        </w:rPr>
      </w:pPr>
    </w:p>
    <w:p w14:paraId="1D5692D1" w14:textId="77777777" w:rsidR="0026275B" w:rsidRPr="00220A41" w:rsidRDefault="0026275B" w:rsidP="0026275B">
      <w:pPr>
        <w:pStyle w:val="SubsubheadK"/>
        <w:rPr>
          <w:color w:val="auto"/>
          <w:sz w:val="22"/>
          <w:szCs w:val="22"/>
        </w:rPr>
      </w:pPr>
      <w:r w:rsidRPr="00220A41">
        <w:rPr>
          <w:color w:val="auto"/>
          <w:sz w:val="22"/>
          <w:szCs w:val="22"/>
        </w:rPr>
        <w:t>Cloud-Computing als Grundlage für hybrides Arbeiten</w:t>
      </w:r>
    </w:p>
    <w:p w14:paraId="266C16D4" w14:textId="77777777" w:rsidR="0026275B" w:rsidRPr="00220A41" w:rsidRDefault="0026275B" w:rsidP="0026275B">
      <w:pPr>
        <w:pStyle w:val="SubsubheadK"/>
        <w:rPr>
          <w:color w:val="auto"/>
          <w:sz w:val="22"/>
          <w:szCs w:val="22"/>
        </w:rPr>
      </w:pPr>
    </w:p>
    <w:p w14:paraId="1D4B2C54" w14:textId="77777777" w:rsidR="0026275B" w:rsidRPr="00220A41" w:rsidRDefault="0026275B" w:rsidP="0026275B">
      <w:pPr>
        <w:pStyle w:val="SubsubheadK"/>
        <w:rPr>
          <w:b w:val="0"/>
          <w:bCs w:val="0"/>
          <w:color w:val="auto"/>
          <w:sz w:val="22"/>
          <w:szCs w:val="22"/>
        </w:rPr>
      </w:pPr>
      <w:r w:rsidRPr="00220A41">
        <w:rPr>
          <w:b w:val="0"/>
          <w:bCs w:val="0"/>
          <w:color w:val="auto"/>
          <w:sz w:val="22"/>
          <w:szCs w:val="22"/>
        </w:rPr>
        <w:t>Die Dimension Cloud-Computing befasst sich mit dem Übergang zu cloudbasierten Betriebsmodellen, die es Mitarbeitenden ermöglichen, unabhängig vom Standort zu drucken, zu scannen und auf Dokumente zuzugreifen. Laut Quocirca verfügen bereits 35 Prozent der Unternehmen über eine vollständig cloudbasierte Print-Management-Infrastruktur, während 43 Prozent hybride Modelle nutzen – vor allem aus Gründen der Datensouveränität und Compliance.</w:t>
      </w:r>
    </w:p>
    <w:p w14:paraId="67F0422B" w14:textId="31A2FA72" w:rsidR="0026275B" w:rsidRPr="00220A41" w:rsidRDefault="0026275B" w:rsidP="0026275B">
      <w:pPr>
        <w:pStyle w:val="SubsubheadK"/>
        <w:rPr>
          <w:b w:val="0"/>
          <w:bCs w:val="0"/>
          <w:color w:val="auto"/>
          <w:sz w:val="22"/>
          <w:szCs w:val="22"/>
        </w:rPr>
      </w:pPr>
      <w:r w:rsidRPr="00220A41">
        <w:rPr>
          <w:b w:val="0"/>
          <w:bCs w:val="0"/>
          <w:color w:val="auto"/>
          <w:sz w:val="22"/>
          <w:szCs w:val="22"/>
        </w:rPr>
        <w:t>Im Report werden die cloudnativen Print-, Scan- und Workflow-Plattformen von Konica Minolta besonders erwähnt. Sie lassen sich in Microsoft 365 sowie andere Hyperscaler-Ökosysteme integrieren, reduzieren die Komplexität der Infrastruktur und unterstützen moderne hybride Arbeitsmodelle.</w:t>
      </w:r>
      <w:r w:rsidRPr="00220A41">
        <w:rPr>
          <w:b w:val="0"/>
          <w:bCs w:val="0"/>
          <w:color w:val="auto"/>
          <w:sz w:val="22"/>
          <w:szCs w:val="22"/>
        </w:rPr>
        <w:br/>
      </w:r>
    </w:p>
    <w:p w14:paraId="0727598B" w14:textId="77777777" w:rsidR="0026275B" w:rsidRPr="00220A41" w:rsidRDefault="0026275B" w:rsidP="0026275B">
      <w:pPr>
        <w:pStyle w:val="SubsubheadK"/>
        <w:rPr>
          <w:color w:val="auto"/>
          <w:sz w:val="22"/>
          <w:szCs w:val="22"/>
        </w:rPr>
      </w:pPr>
      <w:r w:rsidRPr="00220A41">
        <w:rPr>
          <w:color w:val="auto"/>
          <w:sz w:val="22"/>
          <w:szCs w:val="22"/>
        </w:rPr>
        <w:t>Starke Technologie-Ökosysteme</w:t>
      </w:r>
    </w:p>
    <w:p w14:paraId="37CD8E3A" w14:textId="77777777" w:rsidR="0026275B" w:rsidRPr="00220A41" w:rsidRDefault="0026275B" w:rsidP="0026275B">
      <w:pPr>
        <w:pStyle w:val="SubsubheadK"/>
        <w:rPr>
          <w:color w:val="auto"/>
          <w:sz w:val="22"/>
          <w:szCs w:val="22"/>
        </w:rPr>
      </w:pPr>
    </w:p>
    <w:p w14:paraId="0BA2EEE2" w14:textId="0A747B18" w:rsidR="0026275B" w:rsidRPr="00220A41" w:rsidRDefault="0026275B" w:rsidP="0026275B">
      <w:pPr>
        <w:pStyle w:val="SubsubheadK"/>
        <w:rPr>
          <w:color w:val="auto"/>
          <w:sz w:val="22"/>
          <w:szCs w:val="22"/>
        </w:rPr>
      </w:pPr>
      <w:r w:rsidRPr="00220A41">
        <w:rPr>
          <w:b w:val="0"/>
          <w:bCs w:val="0"/>
          <w:color w:val="auto"/>
          <w:sz w:val="22"/>
          <w:szCs w:val="22"/>
        </w:rPr>
        <w:t xml:space="preserve">Die dritte Dimension des ACT-Frameworks bewertet die Fähigkeit von Anbietern, stabile Netzwerke aus Technologiepartnern aufzubauen und gezielt zu nutzen. Quocirca betont, dass es nicht mehr allein um Hardware geht, sondern vor allem </w:t>
      </w:r>
      <w:r w:rsidRPr="00220A41">
        <w:rPr>
          <w:b w:val="0"/>
          <w:bCs w:val="0"/>
          <w:color w:val="auto"/>
          <w:sz w:val="22"/>
          <w:szCs w:val="22"/>
        </w:rPr>
        <w:lastRenderedPageBreak/>
        <w:t>darum, wie sich Druck- und Dokumentenlösungen in die bestehende IT-Landschaft von Kunden integrieren lassen. Diese Entwicklung ist auch deshalb relevant, weil Unternehmen IT-Dienstleister mit 28 Prozent als erste Wahl für die</w:t>
      </w:r>
      <w:r w:rsidRPr="00220A41">
        <w:rPr>
          <w:color w:val="auto"/>
          <w:sz w:val="22"/>
          <w:szCs w:val="22"/>
        </w:rPr>
        <w:t xml:space="preserve"> </w:t>
      </w:r>
      <w:r w:rsidRPr="00220A41">
        <w:rPr>
          <w:b w:val="0"/>
          <w:bCs w:val="0"/>
          <w:color w:val="auto"/>
          <w:sz w:val="22"/>
          <w:szCs w:val="22"/>
        </w:rPr>
        <w:t>Bereitstellung von Druckservices nennen – noch vor klassischen Druckanbietern mit 22 Prozent.</w:t>
      </w:r>
      <w:r w:rsidRPr="00220A41">
        <w:rPr>
          <w:b w:val="0"/>
          <w:bCs w:val="0"/>
          <w:color w:val="auto"/>
          <w:sz w:val="22"/>
          <w:szCs w:val="22"/>
        </w:rPr>
        <w:br/>
      </w:r>
    </w:p>
    <w:p w14:paraId="15E7152D" w14:textId="7371F78F" w:rsidR="008D1866" w:rsidRPr="00220A41" w:rsidRDefault="0026275B" w:rsidP="00B0682D">
      <w:pPr>
        <w:pStyle w:val="SubsubheadK"/>
        <w:rPr>
          <w:color w:val="auto"/>
          <w:sz w:val="22"/>
          <w:szCs w:val="22"/>
        </w:rPr>
      </w:pPr>
      <w:r w:rsidRPr="00220A41">
        <w:rPr>
          <w:b w:val="0"/>
          <w:bCs w:val="0"/>
          <w:color w:val="auto"/>
          <w:sz w:val="22"/>
          <w:szCs w:val="22"/>
        </w:rPr>
        <w:t>Konica Minolta überzeugte im Report mit einem breiten Netzwerk strategischer Technologiepartnerschaften, darunter Microsoft, M-Files, Hyland OnBase und Y Soft. Zudem stellt das Unternehmen sein Portfolio über Cloud-Marktplätze wie AWS und Microsoft Azure bereit. Damit unterstützt das Unternehmen Cloud-first-Beschaffungsmodelle ebenso wie skalierbare hybride IT-Umgebungen.</w:t>
      </w:r>
      <w:r w:rsidR="00E06E93" w:rsidRPr="00220A41">
        <w:rPr>
          <w:b w:val="0"/>
          <w:bCs w:val="0"/>
          <w:color w:val="auto"/>
          <w:sz w:val="22"/>
          <w:szCs w:val="22"/>
        </w:rPr>
        <w:br/>
      </w:r>
      <w:r w:rsidR="00B0682D" w:rsidRPr="00220A41">
        <w:rPr>
          <w:b w:val="0"/>
          <w:bCs w:val="0"/>
          <w:color w:val="auto"/>
          <w:sz w:val="22"/>
          <w:szCs w:val="22"/>
        </w:rPr>
        <w:br/>
      </w:r>
      <w:r w:rsidRPr="00220A41">
        <w:rPr>
          <w:b w:val="0"/>
          <w:bCs w:val="0"/>
          <w:color w:val="auto"/>
          <w:sz w:val="22"/>
          <w:szCs w:val="22"/>
        </w:rPr>
        <w:t xml:space="preserve">„Wir sind sehr stolz darauf, im allerersten </w:t>
      </w:r>
      <w:r w:rsidR="00BE6A03" w:rsidRPr="00220A41">
        <w:rPr>
          <w:b w:val="0"/>
          <w:bCs w:val="0"/>
          <w:color w:val="auto"/>
          <w:sz w:val="22"/>
          <w:szCs w:val="22"/>
        </w:rPr>
        <w:t>ACT-Report</w:t>
      </w:r>
      <w:r w:rsidRPr="00220A41">
        <w:rPr>
          <w:b w:val="0"/>
          <w:bCs w:val="0"/>
          <w:color w:val="auto"/>
          <w:sz w:val="22"/>
          <w:szCs w:val="22"/>
        </w:rPr>
        <w:t xml:space="preserve"> von Quocirca als Leader ausgezeichnet zu werden. Für Konica Minolta ist es eine wichtige Bestätigung, dass unsere weltweiten Aktivitäten, uns als ganzheitlicher und langfristiger Partner für die Transformation des digitalen Arbeitsplatzes zu positionieren, anerkannt werden“, sagt Ole Maaz, Head of International Marketing Division bei Konica Minolta Business Solutions Europe.</w:t>
      </w:r>
      <w:r w:rsidR="008D1866" w:rsidRPr="00220A41">
        <w:rPr>
          <w:b w:val="0"/>
          <w:bCs w:val="0"/>
          <w:color w:val="auto"/>
          <w:sz w:val="22"/>
          <w:szCs w:val="22"/>
        </w:rPr>
        <w:br/>
      </w:r>
      <w:r w:rsidR="008D1866" w:rsidRPr="00220A41">
        <w:rPr>
          <w:b w:val="0"/>
          <w:bCs w:val="0"/>
          <w:color w:val="auto"/>
          <w:sz w:val="22"/>
          <w:szCs w:val="22"/>
        </w:rPr>
        <w:br/>
      </w:r>
      <w:r w:rsidR="008D1866" w:rsidRPr="00220A41">
        <w:rPr>
          <w:color w:val="auto"/>
          <w:sz w:val="22"/>
          <w:szCs w:val="22"/>
        </w:rPr>
        <w:t>Weiterführende Informationen:</w:t>
      </w:r>
      <w:r w:rsidR="003349F8" w:rsidRPr="00220A41">
        <w:rPr>
          <w:sz w:val="22"/>
          <w:szCs w:val="22"/>
        </w:rPr>
        <w:br/>
      </w:r>
      <w:r w:rsidR="008D1866" w:rsidRPr="00220A41">
        <w:rPr>
          <w:sz w:val="22"/>
          <w:szCs w:val="22"/>
        </w:rPr>
        <w:br/>
      </w:r>
      <w:r w:rsidR="008D1866" w:rsidRPr="00220A41">
        <w:rPr>
          <w:b w:val="0"/>
          <w:bCs w:val="0"/>
          <w:color w:val="auto"/>
          <w:sz w:val="22"/>
          <w:szCs w:val="22"/>
        </w:rPr>
        <w:t>Der Report „</w:t>
      </w:r>
      <w:r w:rsidR="008D1866" w:rsidRPr="00220A41">
        <w:rPr>
          <w:b w:val="0"/>
          <w:bCs w:val="0"/>
          <w:i/>
          <w:iCs/>
          <w:color w:val="auto"/>
          <w:sz w:val="22"/>
          <w:szCs w:val="22"/>
        </w:rPr>
        <w:t>Quocirca ACT: Print Industry Ecosystem Leadership – How Automation and AI, Cloud, and Technology Ecosystems are Reshaping the Print Industry“</w:t>
      </w:r>
      <w:r w:rsidR="008D1866" w:rsidRPr="00220A41">
        <w:rPr>
          <w:b w:val="0"/>
          <w:bCs w:val="0"/>
          <w:color w:val="auto"/>
          <w:sz w:val="22"/>
          <w:szCs w:val="22"/>
        </w:rPr>
        <w:t xml:space="preserve"> steht </w:t>
      </w:r>
      <w:hyperlink r:id="rId10" w:history="1">
        <w:r w:rsidR="008D1866" w:rsidRPr="00220A41">
          <w:rPr>
            <w:rStyle w:val="Hyperlink"/>
            <w:rFonts w:cstheme="minorBidi"/>
            <w:b w:val="0"/>
            <w:bCs w:val="0"/>
            <w:sz w:val="22"/>
            <w:szCs w:val="22"/>
          </w:rPr>
          <w:t>online</w:t>
        </w:r>
      </w:hyperlink>
      <w:r w:rsidR="008D1866" w:rsidRPr="00220A41">
        <w:rPr>
          <w:b w:val="0"/>
          <w:bCs w:val="0"/>
          <w:color w:val="auto"/>
          <w:sz w:val="22"/>
          <w:szCs w:val="22"/>
        </w:rPr>
        <w:t xml:space="preserve"> zur Verfügung.</w:t>
      </w:r>
      <w:r w:rsidR="003349F8" w:rsidRPr="00220A41">
        <w:rPr>
          <w:b w:val="0"/>
          <w:bCs w:val="0"/>
          <w:color w:val="auto"/>
          <w:sz w:val="22"/>
          <w:szCs w:val="22"/>
        </w:rPr>
        <w:br/>
      </w:r>
      <w:r w:rsidR="003349F8" w:rsidRPr="00220A41">
        <w:rPr>
          <w:b w:val="0"/>
          <w:bCs w:val="0"/>
          <w:color w:val="auto"/>
          <w:sz w:val="22"/>
          <w:szCs w:val="22"/>
        </w:rPr>
        <w:br/>
      </w:r>
      <w:hyperlink r:id="rId11" w:history="1"/>
      <w:r w:rsidR="005907A0" w:rsidRPr="00220A41">
        <w:rPr>
          <w:b w:val="0"/>
          <w:bCs w:val="0"/>
          <w:color w:val="auto"/>
          <w:sz w:val="22"/>
          <w:szCs w:val="22"/>
        </w:rPr>
        <w:t xml:space="preserve">Ergänzend bietet ein </w:t>
      </w:r>
      <w:hyperlink r:id="rId12" w:history="1">
        <w:r w:rsidR="005907A0" w:rsidRPr="00220A41">
          <w:rPr>
            <w:rStyle w:val="Hyperlink"/>
            <w:b w:val="0"/>
            <w:bCs w:val="0"/>
            <w:sz w:val="22"/>
            <w:szCs w:val="22"/>
          </w:rPr>
          <w:t>Video</w:t>
        </w:r>
      </w:hyperlink>
      <w:r w:rsidR="005907A0" w:rsidRPr="00220A41">
        <w:t xml:space="preserve"> </w:t>
      </w:r>
      <w:r w:rsidR="008D1866" w:rsidRPr="00220A41">
        <w:rPr>
          <w:b w:val="0"/>
          <w:bCs w:val="0"/>
          <w:color w:val="auto"/>
          <w:sz w:val="22"/>
          <w:szCs w:val="22"/>
        </w:rPr>
        <w:t>mit Louella Fernandes, CEO von Quocirca, und Vasco Falcão, Head of DW-DX Europe bei Konica Minolta Business Solutions Europe, weitere Einblicke dazu, wie Konica Minolta Unternehmen dabei unterstützt, KI in ihre Workflows zu integrieren, Produktivität zu steigern und Technologieinvestitionen an strategischen Unternehmenszielen auszurichten.</w:t>
      </w:r>
    </w:p>
    <w:p w14:paraId="6F2C5C71" w14:textId="5D241166" w:rsidR="002944F4" w:rsidRPr="00220A41" w:rsidRDefault="002944F4" w:rsidP="00E06E93">
      <w:pPr>
        <w:pStyle w:val="SubsubheadK"/>
        <w:rPr>
          <w:b w:val="0"/>
          <w:bCs w:val="0"/>
          <w:color w:val="auto"/>
          <w:sz w:val="22"/>
          <w:szCs w:val="22"/>
        </w:rPr>
      </w:pPr>
    </w:p>
    <w:p w14:paraId="3DA4DE61" w14:textId="391E5489" w:rsidR="00BB5544" w:rsidRPr="00220A41" w:rsidRDefault="00BB5544" w:rsidP="00B0682D">
      <w:pPr>
        <w:pStyle w:val="BodyK"/>
        <w:ind w:left="0"/>
        <w:rPr>
          <w:rStyle w:val="Hyperlink1"/>
          <w:color w:val="000000"/>
          <w:sz w:val="22"/>
          <w:szCs w:val="22"/>
          <w:u w:color="000000"/>
          <w:lang w:val="de-DE"/>
        </w:rPr>
      </w:pPr>
    </w:p>
    <w:p w14:paraId="274AE3C9" w14:textId="163ACEF2" w:rsidR="00127C76" w:rsidRPr="00220A41" w:rsidRDefault="00127C76" w:rsidP="00127C76">
      <w:pPr>
        <w:pStyle w:val="BodyK"/>
        <w:rPr>
          <w:sz w:val="22"/>
          <w:szCs w:val="22"/>
        </w:rPr>
      </w:pPr>
      <w:r w:rsidRPr="00220A41">
        <w:rPr>
          <w:sz w:val="22"/>
          <w:szCs w:val="22"/>
        </w:rPr>
        <w:t>Diese Meldung steht Ihnen in unserem </w:t>
      </w:r>
      <w:hyperlink r:id="rId13" w:tooltip="https://www.konicaminolta.de/de-de/presse" w:history="1">
        <w:r w:rsidRPr="00220A41">
          <w:rPr>
            <w:rFonts w:cstheme="minorBidi"/>
            <w:color w:val="0070C0"/>
            <w:sz w:val="22"/>
            <w:szCs w:val="22"/>
          </w:rPr>
          <w:t>Newsroom</w:t>
        </w:r>
      </w:hyperlink>
      <w:r w:rsidRPr="00220A41">
        <w:rPr>
          <w:sz w:val="22"/>
          <w:szCs w:val="22"/>
        </w:rPr>
        <w:t> zur Verfügung. Folgen Sie Konica Minolta auch auf </w:t>
      </w:r>
      <w:hyperlink r:id="rId14" w:tooltip="https://www.linkedin.com/company/konica-minolta-business-solutions-deutschland-gmbh" w:history="1">
        <w:r w:rsidRPr="00220A41">
          <w:rPr>
            <w:rFonts w:cstheme="minorBidi"/>
            <w:color w:val="0070C0"/>
            <w:sz w:val="22"/>
            <w:szCs w:val="22"/>
          </w:rPr>
          <w:t>LinkedIn</w:t>
        </w:r>
      </w:hyperlink>
      <w:r w:rsidRPr="00220A41">
        <w:rPr>
          <w:sz w:val="22"/>
          <w:szCs w:val="22"/>
        </w:rPr>
        <w:t> und </w:t>
      </w:r>
      <w:hyperlink r:id="rId15" w:tooltip="https://www.youtube.com/user/KonicaMinoltaBD" w:history="1">
        <w:r w:rsidRPr="00220A41">
          <w:rPr>
            <w:rFonts w:cstheme="minorBidi"/>
            <w:color w:val="0070C0"/>
            <w:sz w:val="22"/>
            <w:szCs w:val="22"/>
          </w:rPr>
          <w:t>YouTube</w:t>
        </w:r>
      </w:hyperlink>
      <w:r w:rsidRPr="00220A41">
        <w:rPr>
          <w:sz w:val="22"/>
          <w:szCs w:val="22"/>
        </w:rPr>
        <w:t>.</w:t>
      </w:r>
      <w:r w:rsidRPr="00220A41">
        <w:rPr>
          <w:sz w:val="22"/>
          <w:szCs w:val="22"/>
        </w:rPr>
        <w:br/>
      </w:r>
      <w:r w:rsidRPr="00220A41">
        <w:rPr>
          <w:sz w:val="22"/>
          <w:szCs w:val="22"/>
        </w:rPr>
        <w:br/>
        <w:t>Internetseite: </w:t>
      </w:r>
      <w:hyperlink r:id="rId16" w:tooltip="https://www.konicaminolta.de/" w:history="1">
        <w:r w:rsidRPr="00220A41">
          <w:rPr>
            <w:rFonts w:cstheme="minorBidi"/>
            <w:color w:val="0070C0"/>
            <w:sz w:val="22"/>
            <w:szCs w:val="22"/>
          </w:rPr>
          <w:t>https://www.konicaminolta.de/</w:t>
        </w:r>
      </w:hyperlink>
      <w:r w:rsidRPr="00220A41">
        <w:rPr>
          <w:sz w:val="22"/>
          <w:szCs w:val="22"/>
        </w:rPr>
        <w:br/>
        <w:t>Newsroom: </w:t>
      </w:r>
      <w:hyperlink r:id="rId17" w:tooltip="https://www.konicaminolta.de/de-de/presse" w:history="1">
        <w:r w:rsidRPr="00220A41">
          <w:rPr>
            <w:rFonts w:cstheme="minorBidi"/>
            <w:color w:val="0070C0"/>
            <w:sz w:val="22"/>
            <w:szCs w:val="22"/>
          </w:rPr>
          <w:t>https://www.konicaminolta.de/de-de/presse</w:t>
        </w:r>
      </w:hyperlink>
      <w:r w:rsidRPr="00220A41">
        <w:rPr>
          <w:rFonts w:cstheme="minorBidi"/>
          <w:color w:val="0070C0"/>
          <w:sz w:val="22"/>
          <w:szCs w:val="22"/>
        </w:rPr>
        <w:br/>
      </w:r>
      <w:r w:rsidRPr="00220A41">
        <w:rPr>
          <w:sz w:val="22"/>
          <w:szCs w:val="22"/>
        </w:rPr>
        <w:lastRenderedPageBreak/>
        <w:t>Blog: </w:t>
      </w:r>
      <w:hyperlink r:id="rId18" w:tooltip="https://www.konicaminolta.de/de-de/blog" w:history="1">
        <w:r w:rsidRPr="00220A41">
          <w:rPr>
            <w:rFonts w:cstheme="minorBidi"/>
            <w:color w:val="0070C0"/>
            <w:sz w:val="22"/>
            <w:szCs w:val="22"/>
          </w:rPr>
          <w:t>https://www.konicaminolta.de/de-de/blog</w:t>
        </w:r>
      </w:hyperlink>
      <w:r w:rsidRPr="00220A41">
        <w:rPr>
          <w:sz w:val="22"/>
          <w:szCs w:val="22"/>
        </w:rPr>
        <w:br/>
        <w:t>Bilddateien: </w:t>
      </w:r>
      <w:hyperlink r:id="rId19" w:tooltip="https://konicaminolta.eu/mediastore-public" w:history="1">
        <w:r w:rsidRPr="00220A41">
          <w:rPr>
            <w:rFonts w:cstheme="minorBidi"/>
            <w:color w:val="0070C0"/>
            <w:sz w:val="22"/>
            <w:szCs w:val="22"/>
          </w:rPr>
          <w:t>https://konicaminolta.eu/mediastore-public</w:t>
        </w:r>
      </w:hyperlink>
    </w:p>
    <w:p w14:paraId="7F1165D1" w14:textId="77777777" w:rsidR="00127C76" w:rsidRPr="00220A41" w:rsidRDefault="00127C76" w:rsidP="00127C76">
      <w:pPr>
        <w:pStyle w:val="BodyK"/>
        <w:rPr>
          <w:sz w:val="22"/>
          <w:szCs w:val="22"/>
        </w:rPr>
      </w:pPr>
      <w:r w:rsidRPr="00220A41">
        <w:rPr>
          <w:sz w:val="22"/>
          <w:szCs w:val="22"/>
        </w:rPr>
        <w:t> </w:t>
      </w:r>
    </w:p>
    <w:p w14:paraId="597BEDEC" w14:textId="77777777" w:rsidR="00127C76" w:rsidRPr="00220A41" w:rsidRDefault="00127C76" w:rsidP="00127C76">
      <w:pPr>
        <w:pStyle w:val="BodyK"/>
        <w:rPr>
          <w:b/>
          <w:bCs/>
          <w:sz w:val="22"/>
          <w:szCs w:val="22"/>
        </w:rPr>
      </w:pPr>
    </w:p>
    <w:p w14:paraId="295BF7EE" w14:textId="77777777" w:rsidR="004721A0" w:rsidRPr="00220A41" w:rsidRDefault="004721A0" w:rsidP="004721A0">
      <w:pPr>
        <w:pStyle w:val="BodyK"/>
        <w:rPr>
          <w:rFonts w:cstheme="minorHAnsi"/>
          <w:b/>
          <w:bCs/>
          <w:color w:val="auto"/>
          <w:sz w:val="20"/>
          <w:szCs w:val="20"/>
        </w:rPr>
      </w:pPr>
      <w:r w:rsidRPr="00220A41">
        <w:rPr>
          <w:rFonts w:cstheme="minorHAnsi"/>
          <w:b/>
          <w:bCs/>
          <w:color w:val="auto"/>
          <w:sz w:val="20"/>
          <w:szCs w:val="20"/>
        </w:rPr>
        <w:t>Über Konica Minolta Business Solutions Europe</w:t>
      </w:r>
    </w:p>
    <w:p w14:paraId="5F9E46C3" w14:textId="77777777" w:rsidR="00A725EE" w:rsidRPr="00220A41" w:rsidRDefault="00A725EE" w:rsidP="004721A0">
      <w:pPr>
        <w:pStyle w:val="BodyK"/>
        <w:rPr>
          <w:rFonts w:cstheme="minorHAnsi"/>
          <w:b/>
          <w:bCs/>
          <w:color w:val="auto"/>
          <w:sz w:val="20"/>
          <w:szCs w:val="20"/>
        </w:rPr>
      </w:pPr>
    </w:p>
    <w:p w14:paraId="48432A78" w14:textId="7C077001" w:rsidR="004721A0" w:rsidRPr="00220A41" w:rsidRDefault="004721A0" w:rsidP="004721A0">
      <w:pPr>
        <w:pStyle w:val="BodyK"/>
        <w:rPr>
          <w:rFonts w:cstheme="minorHAnsi"/>
          <w:color w:val="auto"/>
          <w:sz w:val="20"/>
          <w:szCs w:val="20"/>
        </w:rPr>
      </w:pPr>
      <w:r w:rsidRPr="00220A41">
        <w:rPr>
          <w:rFonts w:cstheme="minorHAnsi"/>
          <w:color w:val="auto"/>
          <w:sz w:val="20"/>
          <w:szCs w:val="20"/>
        </w:rPr>
        <w:t>Die Konica Minolta Business Solutions Europe GmbH mit Sitz in Langenhagen, Deutschland, ist eine hundertprozentige Tochtergesellschaft der Konica Minolta Inc. in Tokio, Japan. Mit der einzigartigen Expertise in den Bereichen Imaging, Datenverarbeitung und datenbasierte Entscheidungsfindung schafft Konica Minolta relevante Lösungen für seine Kunden - kleine und mittelständische Unternehmen, Großunternehmen und den öffentlichen Sektor - und löst damit gesellschaftliche Herausforderungen.</w:t>
      </w:r>
      <w:r w:rsidR="00717DCD" w:rsidRPr="00220A41">
        <w:rPr>
          <w:rFonts w:cstheme="minorHAnsi"/>
          <w:color w:val="auto"/>
          <w:sz w:val="20"/>
          <w:szCs w:val="20"/>
        </w:rPr>
        <w:br/>
      </w:r>
    </w:p>
    <w:p w14:paraId="53C12299" w14:textId="77777777" w:rsidR="004721A0" w:rsidRPr="00220A41" w:rsidRDefault="004721A0" w:rsidP="004721A0">
      <w:pPr>
        <w:pStyle w:val="BodyK"/>
        <w:rPr>
          <w:rFonts w:cstheme="minorHAnsi"/>
          <w:color w:val="0070C0"/>
          <w:sz w:val="20"/>
          <w:szCs w:val="20"/>
        </w:rPr>
      </w:pPr>
      <w:r w:rsidRPr="00220A41">
        <w:rPr>
          <w:rFonts w:cstheme="minorHAnsi"/>
          <w:color w:val="auto"/>
          <w:sz w:val="20"/>
          <w:szCs w:val="20"/>
        </w:rPr>
        <w:t>Konica Minolta Business Solutions Europe ist mit Tochtergesellschaften und Vertriebspartnern in mehr als 80 Ländern in Europa, Zentralasien, dem Nahen Osten und Afrika vertreten. Mit rund 7.500 Mitarbeitern (Stand: 31.März 2026) erwirtschaftete Konica Minolta Europe im Geschäftsjahr 2025/2026 einen Nettoumsatz von 1,954 Milliarden Euro. Weltweit beschäftigt das Unternehmen rund 34.300 Mitarbeiter und ist in mehr als 150 Ländern tätig</w:t>
      </w:r>
      <w:r w:rsidRPr="00220A41">
        <w:rPr>
          <w:rFonts w:cstheme="minorHAnsi"/>
          <w:color w:val="0070C0"/>
          <w:sz w:val="20"/>
          <w:szCs w:val="20"/>
        </w:rPr>
        <w:t xml:space="preserve">. </w:t>
      </w:r>
    </w:p>
    <w:p w14:paraId="33591BBA" w14:textId="77777777" w:rsidR="004721A0" w:rsidRPr="00220A41" w:rsidRDefault="004721A0" w:rsidP="004721A0">
      <w:pPr>
        <w:pStyle w:val="BodyK"/>
        <w:rPr>
          <w:rFonts w:cstheme="minorHAnsi"/>
          <w:color w:val="0070C0"/>
          <w:sz w:val="20"/>
          <w:szCs w:val="20"/>
        </w:rPr>
      </w:pPr>
    </w:p>
    <w:p w14:paraId="7C8987BB" w14:textId="77777777" w:rsidR="004721A0" w:rsidRPr="00220A41" w:rsidRDefault="004721A0" w:rsidP="004721A0">
      <w:pPr>
        <w:pStyle w:val="BodyK"/>
        <w:rPr>
          <w:rFonts w:cstheme="minorHAnsi"/>
          <w:color w:val="auto"/>
          <w:sz w:val="20"/>
          <w:szCs w:val="20"/>
        </w:rPr>
      </w:pPr>
      <w:r w:rsidRPr="00220A41">
        <w:rPr>
          <w:rFonts w:cstheme="minorHAnsi"/>
          <w:b/>
          <w:bCs/>
          <w:color w:val="auto"/>
          <w:sz w:val="20"/>
          <w:szCs w:val="20"/>
        </w:rPr>
        <w:t>Medienkontakt Konica Minolta Business Solutions Europe</w:t>
      </w:r>
      <w:r w:rsidRPr="00220A41">
        <w:rPr>
          <w:rFonts w:cstheme="minorHAnsi"/>
          <w:color w:val="auto"/>
          <w:sz w:val="20"/>
          <w:szCs w:val="20"/>
        </w:rPr>
        <w:t>:</w:t>
      </w:r>
    </w:p>
    <w:p w14:paraId="432916FB" w14:textId="77777777" w:rsidR="004721A0" w:rsidRPr="00220A41" w:rsidRDefault="004721A0" w:rsidP="004721A0">
      <w:pPr>
        <w:pStyle w:val="BodyK"/>
        <w:rPr>
          <w:rFonts w:cstheme="minorHAnsi"/>
          <w:color w:val="auto"/>
          <w:sz w:val="20"/>
          <w:szCs w:val="20"/>
        </w:rPr>
      </w:pPr>
      <w:r w:rsidRPr="00220A41">
        <w:rPr>
          <w:rFonts w:cstheme="minorHAnsi"/>
          <w:color w:val="0070C0"/>
          <w:sz w:val="20"/>
          <w:szCs w:val="20"/>
        </w:rPr>
        <w:br/>
      </w:r>
      <w:r w:rsidRPr="00220A41">
        <w:rPr>
          <w:rFonts w:cstheme="minorHAnsi"/>
          <w:color w:val="auto"/>
          <w:sz w:val="20"/>
          <w:szCs w:val="20"/>
        </w:rPr>
        <w:t>Melanie Olbrich</w:t>
      </w:r>
    </w:p>
    <w:p w14:paraId="1A637360" w14:textId="77777777" w:rsidR="004721A0" w:rsidRPr="00220A41" w:rsidRDefault="004721A0" w:rsidP="004721A0">
      <w:pPr>
        <w:pStyle w:val="BodyK"/>
        <w:rPr>
          <w:rFonts w:cstheme="minorHAnsi"/>
          <w:color w:val="auto"/>
          <w:sz w:val="20"/>
          <w:szCs w:val="20"/>
        </w:rPr>
      </w:pPr>
      <w:r w:rsidRPr="00220A41">
        <w:rPr>
          <w:rFonts w:cstheme="minorHAnsi"/>
          <w:color w:val="auto"/>
          <w:sz w:val="20"/>
          <w:szCs w:val="20"/>
        </w:rPr>
        <w:t>Senior Corporate Communications &amp; Content Manager</w:t>
      </w:r>
    </w:p>
    <w:p w14:paraId="744DFBB2" w14:textId="77777777" w:rsidR="004721A0" w:rsidRPr="00220A41" w:rsidRDefault="004721A0" w:rsidP="004721A0">
      <w:pPr>
        <w:pStyle w:val="BodyK"/>
        <w:rPr>
          <w:rFonts w:cstheme="minorBidi"/>
          <w:color w:val="0070C0"/>
          <w:sz w:val="20"/>
          <w:szCs w:val="20"/>
        </w:rPr>
      </w:pPr>
      <w:hyperlink r:id="rId20" w:history="1">
        <w:r w:rsidRPr="00220A41">
          <w:rPr>
            <w:rFonts w:cstheme="minorBidi"/>
            <w:color w:val="0070C0"/>
            <w:sz w:val="20"/>
            <w:szCs w:val="20"/>
          </w:rPr>
          <w:t>Melanie.Olbrich@konicaminolta.eu</w:t>
        </w:r>
      </w:hyperlink>
    </w:p>
    <w:p w14:paraId="6EBDC2FD" w14:textId="77777777" w:rsidR="004721A0" w:rsidRPr="00220A41" w:rsidRDefault="004721A0" w:rsidP="004721A0">
      <w:pPr>
        <w:pStyle w:val="BodyK"/>
        <w:rPr>
          <w:rFonts w:cstheme="minorHAnsi"/>
          <w:color w:val="auto"/>
          <w:sz w:val="20"/>
          <w:szCs w:val="20"/>
        </w:rPr>
      </w:pPr>
      <w:r w:rsidRPr="00220A41">
        <w:rPr>
          <w:rFonts w:cstheme="minorHAnsi"/>
          <w:color w:val="auto"/>
          <w:sz w:val="20"/>
          <w:szCs w:val="20"/>
        </w:rPr>
        <w:t>Tel. +49 (0)511 7404-5337</w:t>
      </w:r>
    </w:p>
    <w:p w14:paraId="00EE5056" w14:textId="77777777" w:rsidR="004721A0" w:rsidRPr="00220A41" w:rsidRDefault="004721A0" w:rsidP="004721A0">
      <w:pPr>
        <w:pStyle w:val="BodyK"/>
        <w:rPr>
          <w:rFonts w:cstheme="minorHAnsi"/>
          <w:color w:val="0070C0"/>
          <w:sz w:val="20"/>
          <w:szCs w:val="20"/>
        </w:rPr>
      </w:pPr>
    </w:p>
    <w:p w14:paraId="245E1E88" w14:textId="77777777" w:rsidR="00127C76" w:rsidRPr="00220A41" w:rsidRDefault="00127C76" w:rsidP="00127C76">
      <w:pPr>
        <w:pStyle w:val="BodyK"/>
        <w:rPr>
          <w:rFonts w:cstheme="minorHAnsi"/>
          <w:color w:val="0070C0"/>
          <w:sz w:val="20"/>
          <w:szCs w:val="20"/>
        </w:rPr>
      </w:pPr>
    </w:p>
    <w:sectPr w:rsidR="00127C76" w:rsidRPr="00220A41">
      <w:footerReference w:type="default" r:id="rId21"/>
      <w:headerReference w:type="first" r:id="rId22"/>
      <w:pgSz w:w="11900" w:h="16840"/>
      <w:pgMar w:top="1985" w:right="1134" w:bottom="851" w:left="851" w:header="709" w:footer="133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8CDFB6D" w14:textId="77777777" w:rsidR="00DB7F43" w:rsidRDefault="00DB7F43">
      <w:r>
        <w:separator/>
      </w:r>
    </w:p>
  </w:endnote>
  <w:endnote w:type="continuationSeparator" w:id="0">
    <w:p w14:paraId="06AA2F2E" w14:textId="77777777" w:rsidR="00DB7F43" w:rsidRDefault="00DB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601D69" w14:textId="77777777" w:rsidR="00BB5544" w:rsidRPr="001A613E" w:rsidRDefault="00BB5544" w:rsidP="001A613E">
    <w:pPr>
      <w:pStyle w:val="BodyK"/>
      <w:ind w:left="0"/>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B7C5A2" w14:textId="77777777" w:rsidR="00DB7F43" w:rsidRDefault="00DB7F43">
      <w:r>
        <w:separator/>
      </w:r>
    </w:p>
  </w:footnote>
  <w:footnote w:type="continuationSeparator" w:id="0">
    <w:p w14:paraId="26A1DA0A" w14:textId="77777777" w:rsidR="00DB7F43" w:rsidRDefault="00DB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713725" w14:textId="73349262" w:rsidR="00F178B7" w:rsidRDefault="00F178B7">
    <w:pPr>
      <w:pStyle w:val="Kopfzeile"/>
    </w:pPr>
    <w:r>
      <w:rPr>
        <w:noProof/>
        <w14:textOutline w14:w="0" w14:cap="rnd" w14:cmpd="sng" w14:algn="ctr">
          <w14:noFill/>
          <w14:prstDash w14:val="solid"/>
          <w14:bevel/>
        </w14:textOutline>
      </w:rPr>
      <w:drawing>
        <wp:anchor distT="0" distB="0" distL="114300" distR="114300" simplePos="0" relativeHeight="251658240" behindDoc="0" locked="0" layoutInCell="1" allowOverlap="1" wp14:anchorId="42E0A2E0" wp14:editId="43456542">
          <wp:simplePos x="0" y="0"/>
          <wp:positionH relativeFrom="column">
            <wp:align>center</wp:align>
          </wp:positionH>
          <wp:positionV relativeFrom="paragraph">
            <wp:posOffset>0</wp:posOffset>
          </wp:positionV>
          <wp:extent cx="1292400" cy="784800"/>
          <wp:effectExtent l="0" t="0" r="3175" b="0"/>
          <wp:wrapSquare wrapText="bothSides"/>
          <wp:docPr id="5" name="図 1" descr="wor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descr="word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400" cy="78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97596C"/>
    <w:multiLevelType w:val="hybridMultilevel"/>
    <w:tmpl w:val="9A461550"/>
    <w:styleLink w:val="ImportierterStil3"/>
    <w:lvl w:ilvl="0" w:tplc="035C5A6C">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EB8F1AA">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40044F4">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854EEBE">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59EA286">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DFCA9F0">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FD8DE8C">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B60EFE2">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56264B8">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1A78121A"/>
    <w:multiLevelType w:val="hybridMultilevel"/>
    <w:tmpl w:val="F8C2BE24"/>
    <w:numStyleLink w:val="ImportierterStil2"/>
  </w:abstractNum>
  <w:abstractNum w:abstractNumId="2" w15:restartNumberingAfterBreak="0">
    <w:nsid w:val="1EA715BB"/>
    <w:multiLevelType w:val="hybridMultilevel"/>
    <w:tmpl w:val="2AC66378"/>
    <w:numStyleLink w:val="ImportierterStil4"/>
  </w:abstractNum>
  <w:abstractNum w:abstractNumId="3" w15:restartNumberingAfterBreak="0">
    <w:nsid w:val="25DA5096"/>
    <w:multiLevelType w:val="hybridMultilevel"/>
    <w:tmpl w:val="F54E7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69332C"/>
    <w:multiLevelType w:val="hybridMultilevel"/>
    <w:tmpl w:val="A478287E"/>
    <w:styleLink w:val="BulletK"/>
    <w:lvl w:ilvl="0" w:tplc="BAACEA8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3BC400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54C068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658CE8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E7055A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0EAA6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E00108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FFEA8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58E85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3561787C"/>
    <w:multiLevelType w:val="hybridMultilevel"/>
    <w:tmpl w:val="F8C2BE24"/>
    <w:styleLink w:val="ImportierterStil2"/>
    <w:lvl w:ilvl="0" w:tplc="E72AE0E0">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62A83BC">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520B762">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DE28BA6">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DB63E22">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F40F092">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5567A56">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000B9E0">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F0CCF0C">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3A6D29B4"/>
    <w:multiLevelType w:val="hybridMultilevel"/>
    <w:tmpl w:val="9A461550"/>
    <w:numStyleLink w:val="ImportierterStil3"/>
  </w:abstractNum>
  <w:abstractNum w:abstractNumId="7" w15:restartNumberingAfterBreak="0">
    <w:nsid w:val="446E782B"/>
    <w:multiLevelType w:val="hybridMultilevel"/>
    <w:tmpl w:val="A478287E"/>
    <w:numStyleLink w:val="BulletK"/>
  </w:abstractNum>
  <w:abstractNum w:abstractNumId="8" w15:restartNumberingAfterBreak="0">
    <w:nsid w:val="4626638C"/>
    <w:multiLevelType w:val="hybridMultilevel"/>
    <w:tmpl w:val="48FC6CB2"/>
    <w:numStyleLink w:val="ImportierterStil6"/>
  </w:abstractNum>
  <w:abstractNum w:abstractNumId="9" w15:restartNumberingAfterBreak="0">
    <w:nsid w:val="529C6FA0"/>
    <w:multiLevelType w:val="hybridMultilevel"/>
    <w:tmpl w:val="2AC66378"/>
    <w:styleLink w:val="ImportierterStil4"/>
    <w:lvl w:ilvl="0" w:tplc="80443832">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D8E5798">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81C1C7A">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ACEF088">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1382EE2">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8BA8CF0">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C74151A">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D6233AC">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1709544">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666B7405"/>
    <w:multiLevelType w:val="hybridMultilevel"/>
    <w:tmpl w:val="48FC6CB2"/>
    <w:styleLink w:val="ImportierterStil6"/>
    <w:lvl w:ilvl="0" w:tplc="62E41B18">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10E67A0">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290A8C8">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AD8BE6C">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BD84688">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04603BE">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11A9182">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BAEE7F0">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363826">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251400424">
    <w:abstractNumId w:val="4"/>
  </w:num>
  <w:num w:numId="2" w16cid:durableId="2126339718">
    <w:abstractNumId w:val="7"/>
  </w:num>
  <w:num w:numId="3" w16cid:durableId="1253006470">
    <w:abstractNumId w:val="9"/>
  </w:num>
  <w:num w:numId="4" w16cid:durableId="1489519833">
    <w:abstractNumId w:val="2"/>
  </w:num>
  <w:num w:numId="5" w16cid:durableId="2044330418">
    <w:abstractNumId w:val="5"/>
  </w:num>
  <w:num w:numId="6" w16cid:durableId="351807323">
    <w:abstractNumId w:val="1"/>
  </w:num>
  <w:num w:numId="7" w16cid:durableId="1721709695">
    <w:abstractNumId w:val="10"/>
  </w:num>
  <w:num w:numId="8" w16cid:durableId="9336799">
    <w:abstractNumId w:val="8"/>
  </w:num>
  <w:num w:numId="9" w16cid:durableId="924722812">
    <w:abstractNumId w:val="0"/>
  </w:num>
  <w:num w:numId="10" w16cid:durableId="1759056243">
    <w:abstractNumId w:val="6"/>
  </w:num>
  <w:num w:numId="11" w16cid:durableId="898200721">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44"/>
    <w:rsid w:val="00014DCC"/>
    <w:rsid w:val="000357D2"/>
    <w:rsid w:val="00057CA6"/>
    <w:rsid w:val="000757F2"/>
    <w:rsid w:val="000D5CEF"/>
    <w:rsid w:val="000F19BF"/>
    <w:rsid w:val="0010488E"/>
    <w:rsid w:val="00110E8A"/>
    <w:rsid w:val="00114F5F"/>
    <w:rsid w:val="00127C76"/>
    <w:rsid w:val="0013106D"/>
    <w:rsid w:val="00134CFA"/>
    <w:rsid w:val="00142095"/>
    <w:rsid w:val="00154C09"/>
    <w:rsid w:val="001550E7"/>
    <w:rsid w:val="001A613E"/>
    <w:rsid w:val="001F21B7"/>
    <w:rsid w:val="00220A41"/>
    <w:rsid w:val="0026275B"/>
    <w:rsid w:val="00277EF1"/>
    <w:rsid w:val="00286211"/>
    <w:rsid w:val="00292E3D"/>
    <w:rsid w:val="002944DE"/>
    <w:rsid w:val="002944F4"/>
    <w:rsid w:val="00295D2E"/>
    <w:rsid w:val="002A3C62"/>
    <w:rsid w:val="002A7E3A"/>
    <w:rsid w:val="00312DEC"/>
    <w:rsid w:val="003133E2"/>
    <w:rsid w:val="00320300"/>
    <w:rsid w:val="003349F8"/>
    <w:rsid w:val="00354CDB"/>
    <w:rsid w:val="00361FA0"/>
    <w:rsid w:val="003C0FB8"/>
    <w:rsid w:val="003C7049"/>
    <w:rsid w:val="003D0381"/>
    <w:rsid w:val="003D4B66"/>
    <w:rsid w:val="0040558D"/>
    <w:rsid w:val="004216C7"/>
    <w:rsid w:val="00455C15"/>
    <w:rsid w:val="004721A0"/>
    <w:rsid w:val="004824D9"/>
    <w:rsid w:val="00483999"/>
    <w:rsid w:val="00493889"/>
    <w:rsid w:val="004A53CB"/>
    <w:rsid w:val="005173C3"/>
    <w:rsid w:val="00522668"/>
    <w:rsid w:val="00530B25"/>
    <w:rsid w:val="005409B8"/>
    <w:rsid w:val="00541C18"/>
    <w:rsid w:val="00546F0A"/>
    <w:rsid w:val="00563BBB"/>
    <w:rsid w:val="005907A0"/>
    <w:rsid w:val="005A0974"/>
    <w:rsid w:val="005A650F"/>
    <w:rsid w:val="0061173D"/>
    <w:rsid w:val="00611A54"/>
    <w:rsid w:val="00611B3B"/>
    <w:rsid w:val="00617C9B"/>
    <w:rsid w:val="0063729D"/>
    <w:rsid w:val="006432B4"/>
    <w:rsid w:val="006562CC"/>
    <w:rsid w:val="006639F7"/>
    <w:rsid w:val="00671176"/>
    <w:rsid w:val="006A0A11"/>
    <w:rsid w:val="006A13DB"/>
    <w:rsid w:val="006B7CBF"/>
    <w:rsid w:val="006E4F90"/>
    <w:rsid w:val="006F5AD0"/>
    <w:rsid w:val="006F7F17"/>
    <w:rsid w:val="00716EC6"/>
    <w:rsid w:val="00717DCD"/>
    <w:rsid w:val="00723E13"/>
    <w:rsid w:val="00762208"/>
    <w:rsid w:val="0076667F"/>
    <w:rsid w:val="007D125D"/>
    <w:rsid w:val="007E4D1D"/>
    <w:rsid w:val="007F77A5"/>
    <w:rsid w:val="008008C7"/>
    <w:rsid w:val="008209CA"/>
    <w:rsid w:val="00826CAC"/>
    <w:rsid w:val="008576D7"/>
    <w:rsid w:val="008614B0"/>
    <w:rsid w:val="008623C0"/>
    <w:rsid w:val="00875741"/>
    <w:rsid w:val="008A13F5"/>
    <w:rsid w:val="008D1866"/>
    <w:rsid w:val="00955720"/>
    <w:rsid w:val="00977697"/>
    <w:rsid w:val="009C40B3"/>
    <w:rsid w:val="009C578B"/>
    <w:rsid w:val="009C7C30"/>
    <w:rsid w:val="009D42A7"/>
    <w:rsid w:val="00A163F5"/>
    <w:rsid w:val="00A6059D"/>
    <w:rsid w:val="00A642F3"/>
    <w:rsid w:val="00A725EE"/>
    <w:rsid w:val="00AD0718"/>
    <w:rsid w:val="00AE4CD1"/>
    <w:rsid w:val="00AE6304"/>
    <w:rsid w:val="00B0682D"/>
    <w:rsid w:val="00B07E07"/>
    <w:rsid w:val="00B27659"/>
    <w:rsid w:val="00B46DA9"/>
    <w:rsid w:val="00B750B3"/>
    <w:rsid w:val="00B8430B"/>
    <w:rsid w:val="00B87DAE"/>
    <w:rsid w:val="00BA7B3F"/>
    <w:rsid w:val="00BB5544"/>
    <w:rsid w:val="00BC34E6"/>
    <w:rsid w:val="00BE37B5"/>
    <w:rsid w:val="00BE6A03"/>
    <w:rsid w:val="00BF0447"/>
    <w:rsid w:val="00C1161F"/>
    <w:rsid w:val="00C11B1F"/>
    <w:rsid w:val="00C257F8"/>
    <w:rsid w:val="00C44C9C"/>
    <w:rsid w:val="00C47E58"/>
    <w:rsid w:val="00C50A23"/>
    <w:rsid w:val="00C521C3"/>
    <w:rsid w:val="00CA5171"/>
    <w:rsid w:val="00CB7D3C"/>
    <w:rsid w:val="00CC287B"/>
    <w:rsid w:val="00CC2F03"/>
    <w:rsid w:val="00D015DC"/>
    <w:rsid w:val="00D40BF5"/>
    <w:rsid w:val="00D43E47"/>
    <w:rsid w:val="00D52046"/>
    <w:rsid w:val="00D547C0"/>
    <w:rsid w:val="00DB7F43"/>
    <w:rsid w:val="00E00AC0"/>
    <w:rsid w:val="00E04DBB"/>
    <w:rsid w:val="00E06E93"/>
    <w:rsid w:val="00E202EA"/>
    <w:rsid w:val="00E34BAE"/>
    <w:rsid w:val="00E85606"/>
    <w:rsid w:val="00F13F57"/>
    <w:rsid w:val="00F178B7"/>
    <w:rsid w:val="00F2759A"/>
    <w:rsid w:val="00F34607"/>
    <w:rsid w:val="00F63CC0"/>
    <w:rsid w:val="00F64C9F"/>
    <w:rsid w:val="00F8548E"/>
    <w:rsid w:val="00FC477C"/>
    <w:rsid w:val="00FC751D"/>
    <w:rsid w:val="00FD1173"/>
    <w:rsid w:val="00FF5C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49AD"/>
  <w15:docId w15:val="{1EF204C2-6FDD-4E08-80AC-53B9F018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170"/>
      </w:tabs>
    </w:pPr>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K">
    <w:name w:val="Body K"/>
    <w:pPr>
      <w:ind w:left="993"/>
    </w:pPr>
    <w:rPr>
      <w:rFonts w:ascii="Lucida Sans Unicode" w:eastAsia="Lucida Sans Unicode" w:hAnsi="Lucida Sans Unicode" w:cs="Lucida Sans Unicode"/>
      <w:color w:val="000000"/>
      <w:sz w:val="24"/>
      <w:szCs w:val="24"/>
      <w:u w:color="000000"/>
      <w:lang w:val="de-DE"/>
      <w14:textOutline w14:w="0" w14:cap="flat" w14:cmpd="sng" w14:algn="ctr">
        <w14:noFill/>
        <w14:prstDash w14:val="solid"/>
        <w14:bevel/>
      </w14:textOutline>
    </w:rPr>
  </w:style>
  <w:style w:type="paragraph" w:customStyle="1" w:styleId="SubheadK">
    <w:name w:val="Subhead K"/>
    <w:pPr>
      <w:ind w:left="993"/>
    </w:pPr>
    <w:rPr>
      <w:rFonts w:ascii="Lucida Sans Unicode" w:eastAsia="Lucida Sans Unicode" w:hAnsi="Lucida Sans Unicode" w:cs="Lucida Sans Unicode"/>
      <w:b/>
      <w:bCs/>
      <w:color w:val="C0167B"/>
      <w:sz w:val="48"/>
      <w:szCs w:val="48"/>
      <w:u w:color="C0167B"/>
      <w:lang w:val="de-DE"/>
      <w14:textOutline w14:w="0" w14:cap="flat" w14:cmpd="sng" w14:algn="ctr">
        <w14:noFill/>
        <w14:prstDash w14:val="solid"/>
        <w14:bevel/>
      </w14:textOutline>
    </w:rPr>
  </w:style>
  <w:style w:type="paragraph" w:customStyle="1" w:styleId="TitleK">
    <w:name w:val="Title K"/>
    <w:pPr>
      <w:tabs>
        <w:tab w:val="left" w:pos="170"/>
      </w:tabs>
      <w:spacing w:line="780" w:lineRule="exact"/>
      <w:ind w:left="993" w:right="417"/>
      <w:outlineLvl w:val="0"/>
    </w:pPr>
    <w:rPr>
      <w:rFonts w:ascii="Lucida Sans Unicode" w:eastAsia="Lucida Sans Unicode" w:hAnsi="Lucida Sans Unicode" w:cs="Lucida Sans Unicode"/>
      <w:b/>
      <w:bCs/>
      <w:color w:val="0062C2"/>
      <w:kern w:val="28"/>
      <w:sz w:val="72"/>
      <w:szCs w:val="72"/>
      <w:u w:color="0062C2"/>
      <w:lang w:val="de-DE"/>
      <w14:textOutline w14:w="0" w14:cap="flat" w14:cmpd="sng" w14:algn="ctr">
        <w14:noFill/>
        <w14:prstDash w14:val="solid"/>
        <w14:bevel/>
      </w14:textOutline>
    </w:rPr>
  </w:style>
  <w:style w:type="paragraph" w:customStyle="1" w:styleId="SubsubheadK">
    <w:name w:val="Subsubhead K"/>
    <w:pPr>
      <w:ind w:left="993"/>
    </w:pPr>
    <w:rPr>
      <w:rFonts w:ascii="Lucida Sans Unicode" w:eastAsia="Lucida Sans Unicode" w:hAnsi="Lucida Sans Unicode" w:cs="Lucida Sans Unicode"/>
      <w:b/>
      <w:bCs/>
      <w:color w:val="0062C2"/>
      <w:sz w:val="28"/>
      <w:szCs w:val="28"/>
      <w:u w:color="0062C2"/>
      <w:lang w:val="de-DE"/>
      <w14:textOutline w14:w="0" w14:cap="flat" w14:cmpd="sng" w14:algn="ctr">
        <w14:noFill/>
        <w14:prstDash w14:val="solid"/>
        <w14:bevel/>
      </w14:textOutline>
    </w:rPr>
  </w:style>
  <w:style w:type="paragraph" w:customStyle="1" w:styleId="DatumK">
    <w:name w:val="Datum K"/>
    <w:pPr>
      <w:spacing w:before="120" w:after="120"/>
      <w:ind w:left="993" w:right="417"/>
    </w:pPr>
    <w:rPr>
      <w:rFonts w:ascii="Lucida Sans Unicode" w:eastAsia="Lucida Sans Unicode" w:hAnsi="Lucida Sans Unicode" w:cs="Lucida Sans Unicode"/>
      <w:b/>
      <w:bCs/>
      <w:color w:val="0062C2"/>
      <w:sz w:val="24"/>
      <w:szCs w:val="24"/>
      <w:u w:color="0062C2"/>
      <w:lang w:val="de-DE"/>
      <w14:textOutline w14:w="0" w14:cap="flat" w14:cmpd="sng" w14:algn="ctr">
        <w14:noFill/>
        <w14:prstDash w14:val="solid"/>
        <w14:bevel/>
      </w14:textOutline>
    </w:rPr>
  </w:style>
  <w:style w:type="paragraph" w:customStyle="1" w:styleId="BodyBoldK">
    <w:name w:val="Body Bold K"/>
    <w:pPr>
      <w:tabs>
        <w:tab w:val="left" w:pos="170"/>
      </w:tabs>
      <w:ind w:left="993"/>
    </w:pPr>
    <w:rPr>
      <w:rFonts w:ascii="Lucida Sans Unicode" w:eastAsia="Lucida Sans Unicode" w:hAnsi="Lucida Sans Unicode" w:cs="Lucida Sans Unicode"/>
      <w:b/>
      <w:bCs/>
      <w:color w:val="000000"/>
      <w:sz w:val="24"/>
      <w:szCs w:val="24"/>
      <w:u w:color="000000"/>
      <w:lang w:val="de-DE"/>
      <w14:textOutline w14:w="0" w14:cap="flat" w14:cmpd="sng" w14:algn="ctr">
        <w14:noFill/>
        <w14:prstDash w14:val="solid"/>
        <w14:bevel/>
      </w14:textOutline>
    </w:rPr>
  </w:style>
  <w:style w:type="character" w:customStyle="1" w:styleId="Link">
    <w:name w:val="Link"/>
    <w:rPr>
      <w:outline w:val="0"/>
      <w:color w:val="000000"/>
      <w:u w:val="none" w:color="000000"/>
    </w:rPr>
  </w:style>
  <w:style w:type="character" w:customStyle="1" w:styleId="Hyperlink0">
    <w:name w:val="Hyperlink.0"/>
    <w:basedOn w:val="Link"/>
    <w:rPr>
      <w:outline w:val="0"/>
      <w:color w:val="000000"/>
      <w:sz w:val="24"/>
      <w:szCs w:val="24"/>
      <w:u w:val="none" w:color="000000"/>
      <w:lang w:val="de-DE"/>
    </w:rPr>
  </w:style>
  <w:style w:type="character" w:customStyle="1" w:styleId="Ohne">
    <w:name w:val="Ohne"/>
  </w:style>
  <w:style w:type="character" w:customStyle="1" w:styleId="Hyperlink1">
    <w:name w:val="Hyperlink.1"/>
    <w:basedOn w:val="Ohne"/>
    <w:rPr>
      <w:outline w:val="0"/>
      <w:color w:val="0062C2"/>
      <w:sz w:val="24"/>
      <w:szCs w:val="24"/>
      <w:u w:color="0062C2"/>
      <w:lang w:val="en-US"/>
    </w:rPr>
  </w:style>
  <w:style w:type="paragraph" w:customStyle="1" w:styleId="BodyBulletK">
    <w:name w:val="Body Bullet K"/>
    <w:pPr>
      <w:tabs>
        <w:tab w:val="left" w:pos="720"/>
      </w:tabs>
      <w:spacing w:after="160" w:line="278" w:lineRule="auto"/>
      <w:ind w:left="992"/>
    </w:pPr>
    <w:rPr>
      <w:rFonts w:ascii="Lucida Sans Unicode" w:eastAsia="Lucida Sans Unicode" w:hAnsi="Lucida Sans Unicode" w:cs="Lucida Sans Unicode"/>
      <w:color w:val="000000"/>
      <w:kern w:val="2"/>
      <w:sz w:val="24"/>
      <w:szCs w:val="24"/>
      <w:u w:color="000000"/>
      <w:lang w:val="de-DE"/>
      <w14:textOutline w14:w="0" w14:cap="flat" w14:cmpd="sng" w14:algn="ctr">
        <w14:noFill/>
        <w14:prstDash w14:val="solid"/>
        <w14:bevel/>
      </w14:textOutline>
    </w:rPr>
  </w:style>
  <w:style w:type="numbering" w:customStyle="1" w:styleId="BulletK">
    <w:name w:val="Bullet K"/>
    <w:pPr>
      <w:numPr>
        <w:numId w:val="1"/>
      </w:numPr>
    </w:pPr>
  </w:style>
  <w:style w:type="numbering" w:customStyle="1" w:styleId="ImportierterStil4">
    <w:name w:val="Importierter Stil: 4"/>
    <w:pPr>
      <w:numPr>
        <w:numId w:val="3"/>
      </w:numPr>
    </w:pPr>
  </w:style>
  <w:style w:type="numbering" w:customStyle="1" w:styleId="ImportierterStil2">
    <w:name w:val="Importierter Stil: 2"/>
    <w:pPr>
      <w:numPr>
        <w:numId w:val="5"/>
      </w:numPr>
    </w:pPr>
  </w:style>
  <w:style w:type="numbering" w:customStyle="1" w:styleId="ImportierterStil6">
    <w:name w:val="Importierter Stil: 6"/>
    <w:pPr>
      <w:numPr>
        <w:numId w:val="7"/>
      </w:numPr>
    </w:pPr>
  </w:style>
  <w:style w:type="numbering" w:customStyle="1" w:styleId="ImportierterStil3">
    <w:name w:val="Importierter Stil: 3"/>
    <w:pPr>
      <w:numPr>
        <w:numId w:val="9"/>
      </w:numPr>
    </w:pPr>
  </w:style>
  <w:style w:type="character" w:customStyle="1" w:styleId="Hyperlink2">
    <w:name w:val="Hyperlink.2"/>
    <w:basedOn w:val="Link"/>
    <w:rPr>
      <w:rFonts w:ascii="Lucida Sans Unicode" w:eastAsia="Lucida Sans Unicode" w:hAnsi="Lucida Sans Unicode" w:cs="Lucida Sans Unicode"/>
      <w:outline w:val="0"/>
      <w:color w:val="467886"/>
      <w:u w:val="single" w:color="467886"/>
    </w:rPr>
  </w:style>
  <w:style w:type="paragraph" w:styleId="Kopfzeile">
    <w:name w:val="header"/>
    <w:basedOn w:val="Standard"/>
    <w:link w:val="KopfzeileZchn"/>
    <w:uiPriority w:val="99"/>
    <w:unhideWhenUsed/>
    <w:rsid w:val="001A613E"/>
    <w:pPr>
      <w:tabs>
        <w:tab w:val="clear" w:pos="170"/>
        <w:tab w:val="center" w:pos="4536"/>
        <w:tab w:val="right" w:pos="9072"/>
      </w:tabs>
    </w:pPr>
  </w:style>
  <w:style w:type="character" w:customStyle="1" w:styleId="KopfzeileZchn">
    <w:name w:val="Kopfzeile Zchn"/>
    <w:basedOn w:val="Absatz-Standardschriftart"/>
    <w:link w:val="Kopfzeile"/>
    <w:uiPriority w:val="99"/>
    <w:rsid w:val="001A613E"/>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paragraph" w:styleId="Fuzeile">
    <w:name w:val="footer"/>
    <w:basedOn w:val="Standard"/>
    <w:link w:val="FuzeileZchn"/>
    <w:uiPriority w:val="99"/>
    <w:unhideWhenUsed/>
    <w:rsid w:val="001A613E"/>
    <w:pPr>
      <w:tabs>
        <w:tab w:val="clear" w:pos="170"/>
        <w:tab w:val="center" w:pos="4536"/>
        <w:tab w:val="right" w:pos="9072"/>
      </w:tabs>
    </w:pPr>
  </w:style>
  <w:style w:type="character" w:customStyle="1" w:styleId="FuzeileZchn">
    <w:name w:val="Fußzeile Zchn"/>
    <w:basedOn w:val="Absatz-Standardschriftart"/>
    <w:link w:val="Fuzeile"/>
    <w:uiPriority w:val="99"/>
    <w:rsid w:val="001A613E"/>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paragraph" w:styleId="StandardWeb">
    <w:name w:val="Normal (Web)"/>
    <w:basedOn w:val="Standard"/>
    <w:uiPriority w:val="99"/>
    <w:unhideWhenUsed/>
    <w:rsid w:val="00014DCC"/>
    <w:pPr>
      <w:pBdr>
        <w:top w:val="none" w:sz="0" w:space="0" w:color="auto"/>
        <w:left w:val="none" w:sz="0" w:space="0" w:color="auto"/>
        <w:bottom w:val="none" w:sz="0" w:space="0" w:color="auto"/>
        <w:right w:val="none" w:sz="0" w:space="0" w:color="auto"/>
        <w:between w:val="none" w:sz="0" w:space="0" w:color="auto"/>
        <w:bar w:val="none" w:sz="0" w:color="auto"/>
      </w:pBdr>
      <w:tabs>
        <w:tab w:val="clear" w:pos="170"/>
      </w:tabs>
      <w:spacing w:before="100" w:beforeAutospacing="1" w:after="100" w:afterAutospacing="1"/>
    </w:pPr>
    <w:rPr>
      <w:rFonts w:ascii="Times New Roman" w:eastAsiaTheme="minorEastAsia" w:hAnsi="Times New Roman" w:cs="Times New Roman"/>
      <w:color w:val="auto"/>
      <w:sz w:val="24"/>
      <w:szCs w:val="24"/>
      <w:bdr w:val="none" w:sz="0" w:space="0" w:color="auto"/>
      <w:lang w:val="de-DE" w:eastAsia="ja-JP"/>
      <w14:textOutline w14:w="0" w14:cap="rnd" w14:cmpd="sng" w14:algn="ctr">
        <w14:noFill/>
        <w14:prstDash w14:val="solid"/>
        <w14:bevel/>
      </w14:textOutline>
    </w:rPr>
  </w:style>
  <w:style w:type="character" w:customStyle="1" w:styleId="apple-converted-space">
    <w:name w:val="apple-converted-space"/>
    <w:basedOn w:val="Absatz-Standardschriftart"/>
    <w:rsid w:val="00014DCC"/>
  </w:style>
  <w:style w:type="character" w:styleId="NichtaufgelsteErwhnung">
    <w:name w:val="Unresolved Mention"/>
    <w:basedOn w:val="Absatz-Standardschriftart"/>
    <w:uiPriority w:val="99"/>
    <w:semiHidden/>
    <w:unhideWhenUsed/>
    <w:rsid w:val="00E00AC0"/>
    <w:rPr>
      <w:color w:val="605E5C"/>
      <w:shd w:val="clear" w:color="auto" w:fill="E1DFDD"/>
    </w:rPr>
  </w:style>
  <w:style w:type="paragraph" w:styleId="Textkrper">
    <w:name w:val="Body Text"/>
    <w:basedOn w:val="Standard"/>
    <w:link w:val="TextkrperZchn"/>
    <w:qFormat/>
    <w:rsid w:val="003D4B66"/>
    <w:pPr>
      <w:pBdr>
        <w:top w:val="none" w:sz="0" w:space="0" w:color="auto"/>
        <w:left w:val="none" w:sz="0" w:space="0" w:color="auto"/>
        <w:bottom w:val="none" w:sz="0" w:space="0" w:color="auto"/>
        <w:right w:val="none" w:sz="0" w:space="0" w:color="auto"/>
        <w:between w:val="none" w:sz="0" w:space="0" w:color="auto"/>
        <w:bar w:val="none" w:sz="0" w:color="auto"/>
      </w:pBdr>
      <w:tabs>
        <w:tab w:val="clear" w:pos="170"/>
      </w:tabs>
      <w:spacing w:before="180" w:after="180"/>
    </w:pPr>
    <w:rPr>
      <w:rFonts w:asciiTheme="minorHAnsi" w:eastAsiaTheme="minorHAnsi" w:hAnsiTheme="minorHAnsi" w:cstheme="minorBidi"/>
      <w:color w:val="auto"/>
      <w:sz w:val="24"/>
      <w:szCs w:val="24"/>
      <w:bdr w:val="none" w:sz="0" w:space="0" w:color="auto"/>
      <w:lang w:eastAsia="en-US"/>
      <w14:textOutline w14:w="0" w14:cap="rnd" w14:cmpd="sng" w14:algn="ctr">
        <w14:noFill/>
        <w14:prstDash w14:val="solid"/>
        <w14:bevel/>
      </w14:textOutline>
    </w:rPr>
  </w:style>
  <w:style w:type="character" w:customStyle="1" w:styleId="TextkrperZchn">
    <w:name w:val="Textkörper Zchn"/>
    <w:basedOn w:val="Absatz-Standardschriftart"/>
    <w:link w:val="Textkrper"/>
    <w:rsid w:val="003D4B66"/>
    <w:rPr>
      <w:rFonts w:asciiTheme="minorHAnsi" w:eastAsiaTheme="minorHAnsi" w:hAnsiTheme="minorHAnsi" w:cstheme="minorBidi"/>
      <w:sz w:val="24"/>
      <w:szCs w:val="24"/>
      <w:bdr w:val="none" w:sz="0" w:space="0" w:color="auto"/>
      <w:lang w:val="en-US" w:eastAsia="en-US"/>
    </w:rPr>
  </w:style>
  <w:style w:type="paragraph" w:styleId="Untertitel">
    <w:name w:val="Subtitle"/>
    <w:basedOn w:val="Standard"/>
    <w:next w:val="Standard"/>
    <w:link w:val="UntertitelZchn"/>
    <w:uiPriority w:val="11"/>
    <w:qFormat/>
    <w:rsid w:val="00FF5C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FF5C5B"/>
    <w:rPr>
      <w:rFonts w:asciiTheme="minorHAnsi" w:eastAsiaTheme="minorEastAsia" w:hAnsiTheme="minorHAnsi" w:cstheme="minorBidi"/>
      <w:color w:val="5A5A5A" w:themeColor="text1" w:themeTint="A5"/>
      <w:spacing w:val="15"/>
      <w:sz w:val="22"/>
      <w:szCs w:val="22"/>
      <w:u w:color="000000"/>
      <w:lang w:val="en-US"/>
      <w14:textOutline w14:w="0" w14:cap="flat" w14:cmpd="sng" w14:algn="ctr">
        <w14:noFill/>
        <w14:prstDash w14:val="solid"/>
        <w14:bevel/>
      </w14:textOutline>
    </w:rPr>
  </w:style>
  <w:style w:type="character" w:styleId="BesuchterLink">
    <w:name w:val="FollowedHyperlink"/>
    <w:basedOn w:val="Absatz-Standardschriftart"/>
    <w:uiPriority w:val="99"/>
    <w:semiHidden/>
    <w:unhideWhenUsed/>
    <w:rsid w:val="0048399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onicaminolta.de/de-de/presse" TargetMode="External"/><Relationship Id="rId18" Type="http://schemas.openxmlformats.org/officeDocument/2006/relationships/hyperlink" Target="https://www.konicaminolta.de/de-de/blo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youtube.com/watch?v=25oXElqqz7A" TargetMode="External"/><Relationship Id="rId17" Type="http://schemas.openxmlformats.org/officeDocument/2006/relationships/hyperlink" Target="https://www.konicaminolta.de/de-de/presse" TargetMode="External"/><Relationship Id="rId2" Type="http://schemas.openxmlformats.org/officeDocument/2006/relationships/customXml" Target="../customXml/item2.xml"/><Relationship Id="rId16" Type="http://schemas.openxmlformats.org/officeDocument/2006/relationships/hyperlink" Target="https://www.konicaminolta.de/" TargetMode="External"/><Relationship Id="rId20" Type="http://schemas.openxmlformats.org/officeDocument/2006/relationships/hyperlink" Target="mailto:Melanie.Olbrich@konicaminolt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25oXElqqz7A?si=ny_Yd0bYof8_GHQ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youtube.com/user/KonicaMinoltaBD" TargetMode="External"/><Relationship Id="rId23" Type="http://schemas.openxmlformats.org/officeDocument/2006/relationships/fontTable" Target="fontTable.xml"/><Relationship Id="rId10" Type="http://schemas.openxmlformats.org/officeDocument/2006/relationships/hyperlink" Target="https://www.konicaminolta.eu/eu-en/digital-workplace/quocirca-act-print-industry-ecosystem-report" TargetMode="External"/><Relationship Id="rId19" Type="http://schemas.openxmlformats.org/officeDocument/2006/relationships/hyperlink" Target="https://konicaminolta.eu/mediastore-publ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konica-minolta-business-solutions-deutschland-gmbh"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T-Brand-theme">
  <a:themeElements>
    <a:clrScheme name="BT-Brand-theme">
      <a:dk1>
        <a:srgbClr val="000000"/>
      </a:dk1>
      <a:lt1>
        <a:srgbClr val="FFFFFF"/>
      </a:lt1>
      <a:dk2>
        <a:srgbClr val="A7A7A7"/>
      </a:dk2>
      <a:lt2>
        <a:srgbClr val="535353"/>
      </a:lt2>
      <a:accent1>
        <a:srgbClr val="0062C2"/>
      </a:accent1>
      <a:accent2>
        <a:srgbClr val="E5E3DF"/>
      </a:accent2>
      <a:accent3>
        <a:srgbClr val="009EB7"/>
      </a:accent3>
      <a:accent4>
        <a:srgbClr val="CEA100"/>
      </a:accent4>
      <a:accent5>
        <a:srgbClr val="C0167B"/>
      </a:accent5>
      <a:accent6>
        <a:srgbClr val="826FB0"/>
      </a:accent6>
      <a:hlink>
        <a:srgbClr val="0000FF"/>
      </a:hlink>
      <a:folHlink>
        <a:srgbClr val="FF00FF"/>
      </a:folHlink>
    </a:clrScheme>
    <a:fontScheme name="BT-Brand-theme">
      <a:majorFont>
        <a:latin typeface="Lucida Sans Unicode"/>
        <a:ea typeface="Lucida Sans Unicode"/>
        <a:cs typeface="Lucida Sans Unicode"/>
      </a:majorFont>
      <a:minorFont>
        <a:latin typeface="Lucida Sans Unicode"/>
        <a:ea typeface="Lucida Sans Unicode"/>
        <a:cs typeface="Lucida Sans Unicode"/>
      </a:minorFont>
    </a:fontScheme>
    <a:fmtScheme name="BT-Brand-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0795"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630555" marR="0" indent="0" algn="l" defTabSz="450215"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Lucida Sans Unicod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0795"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630555" marR="0" indent="0" algn="l" defTabSz="450215"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Lucida Sans Unicod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21f82d1b-cdef-48b1-8008-eb8b2d0b3ba2" xsi:nil="true"/>
    <lcf76f155ced4ddcb4097134ff3c332f xmlns="21f82d1b-cdef-48b1-8008-eb8b2d0b3ba2">
      <Terms xmlns="http://schemas.microsoft.com/office/infopath/2007/PartnerControls"/>
    </lcf76f155ced4ddcb4097134ff3c332f>
    <TaxCatchAll xmlns="c7ab0dc1-0346-4d05-8900-c045d28fa2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9bac4d61b0b0aaa544832a3d33818843">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b74a77cb18f0be6a9532d6537e91c5dc"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BE497-56EE-434D-B362-A2A563216D95}">
  <ds:schemaRefs>
    <ds:schemaRef ds:uri="http://schemas.microsoft.com/office/2006/metadata/properties"/>
    <ds:schemaRef ds:uri="http://schemas.microsoft.com/office/infopath/2007/PartnerControls"/>
    <ds:schemaRef ds:uri="21f82d1b-cdef-48b1-8008-eb8b2d0b3ba2"/>
    <ds:schemaRef ds:uri="c7ab0dc1-0346-4d05-8900-c045d28fa29e"/>
  </ds:schemaRefs>
</ds:datastoreItem>
</file>

<file path=customXml/itemProps2.xml><?xml version="1.0" encoding="utf-8"?>
<ds:datastoreItem xmlns:ds="http://schemas.openxmlformats.org/officeDocument/2006/customXml" ds:itemID="{17F08C57-6814-4C66-8D4F-14F03DD3C2A0}">
  <ds:schemaRefs>
    <ds:schemaRef ds:uri="http://schemas.microsoft.com/sharepoint/v3/contenttype/forms"/>
  </ds:schemaRefs>
</ds:datastoreItem>
</file>

<file path=customXml/itemProps3.xml><?xml version="1.0" encoding="utf-8"?>
<ds:datastoreItem xmlns:ds="http://schemas.openxmlformats.org/officeDocument/2006/customXml" ds:itemID="{F98249DA-9A2F-468E-B31D-67DEF0989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82d1b-cdef-48b1-8008-eb8b2d0b3ba2"/>
    <ds:schemaRef ds:uri="c7ab0dc1-0346-4d05-8900-c045d28fa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6932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Brandner</dc:creator>
  <cp:lastModifiedBy>Alexandra Vasak</cp:lastModifiedBy>
  <cp:revision>14</cp:revision>
  <dcterms:created xsi:type="dcterms:W3CDTF">2026-07-02T07:21:00Z</dcterms:created>
  <dcterms:modified xsi:type="dcterms:W3CDTF">2026-07-02T09:27:00Z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y fmtid="{D5CDD505-2E9C-101B-9397-08002B2CF9AE}" pid="3" name="MediaServiceImageTags">
    <vt:lpwstr/>
  </property>
</Properties>
</file>