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3283A" w14:textId="77777777" w:rsidR="00D17C38" w:rsidRDefault="00D17C38">
      <w:pPr>
        <w:rPr>
          <w:rFonts w:ascii="Calibri" w:eastAsia="Calibri" w:hAnsi="Calibri" w:cs="Calibri"/>
          <w:b/>
          <w:bCs/>
          <w:color w:val="000000"/>
          <w:sz w:val="32"/>
          <w:szCs w:val="32"/>
        </w:rPr>
      </w:pPr>
    </w:p>
    <w:p w14:paraId="370BB587" w14:textId="7A509D5A" w:rsidR="003A665C" w:rsidRDefault="003A665C">
      <w:pPr>
        <w:pBdr>
          <w:top w:val="nil"/>
          <w:left w:val="nil"/>
          <w:bottom w:val="nil"/>
          <w:right w:val="nil"/>
          <w:between w:val="nil"/>
        </w:pBdr>
        <w:rPr>
          <w:rFonts w:ascii="Calibri" w:eastAsia="Calibri" w:hAnsi="Calibri" w:cs="Calibri"/>
          <w:b/>
          <w:bCs/>
          <w:color w:val="000000"/>
          <w:sz w:val="32"/>
          <w:szCs w:val="32"/>
        </w:rPr>
      </w:pPr>
      <w:r w:rsidRPr="003A665C">
        <w:rPr>
          <w:rFonts w:ascii="Calibri" w:eastAsia="Calibri" w:hAnsi="Calibri" w:cs="Calibri"/>
          <w:b/>
          <w:bCs/>
          <w:color w:val="000000"/>
          <w:sz w:val="32"/>
          <w:szCs w:val="32"/>
        </w:rPr>
        <w:t>Österreich kauft 2026 smarter: digital geplant</w:t>
      </w:r>
      <w:r>
        <w:rPr>
          <w:rFonts w:ascii="Calibri" w:eastAsia="Calibri" w:hAnsi="Calibri" w:cs="Calibri"/>
          <w:b/>
          <w:bCs/>
          <w:color w:val="000000"/>
          <w:sz w:val="32"/>
          <w:szCs w:val="32"/>
        </w:rPr>
        <w:t>,</w:t>
      </w:r>
      <w:r w:rsidRPr="003A665C">
        <w:rPr>
          <w:rFonts w:ascii="Calibri" w:eastAsia="Calibri" w:hAnsi="Calibri" w:cs="Calibri"/>
          <w:b/>
          <w:bCs/>
          <w:color w:val="000000"/>
          <w:sz w:val="32"/>
          <w:szCs w:val="32"/>
        </w:rPr>
        <w:t xml:space="preserve"> stationär gekauft</w:t>
      </w:r>
    </w:p>
    <w:p w14:paraId="7824E2B3" w14:textId="77777777" w:rsidR="00D17C38" w:rsidRDefault="00D17C38">
      <w:pPr>
        <w:pBdr>
          <w:top w:val="nil"/>
          <w:left w:val="nil"/>
          <w:bottom w:val="nil"/>
          <w:right w:val="nil"/>
          <w:between w:val="nil"/>
        </w:pBdr>
        <w:rPr>
          <w:rFonts w:ascii="Calibri" w:eastAsia="Calibri" w:hAnsi="Calibri" w:cs="Calibri"/>
          <w:b/>
          <w:bCs/>
          <w:color w:val="000000"/>
          <w:sz w:val="22"/>
          <w:szCs w:val="22"/>
        </w:rPr>
      </w:pPr>
    </w:p>
    <w:p w14:paraId="30578DCE" w14:textId="067A0637" w:rsidR="003A665C" w:rsidRDefault="00000000" w:rsidP="005B63E1">
      <w:pPr>
        <w:pBdr>
          <w:top w:val="nil"/>
          <w:left w:val="nil"/>
          <w:bottom w:val="nil"/>
          <w:right w:val="nil"/>
          <w:between w:val="nil"/>
        </w:pBdr>
        <w:jc w:val="both"/>
        <w:rPr>
          <w:rFonts w:ascii="Calibri" w:eastAsia="Calibri" w:hAnsi="Calibri" w:cs="Calibri"/>
          <w:b/>
          <w:bCs/>
          <w:color w:val="444746"/>
          <w:sz w:val="22"/>
          <w:szCs w:val="22"/>
          <w:highlight w:val="white"/>
        </w:rPr>
      </w:pPr>
      <w:r>
        <w:rPr>
          <w:rFonts w:ascii="Calibri" w:eastAsia="Calibri" w:hAnsi="Calibri" w:cs="Calibri"/>
          <w:color w:val="000000"/>
          <w:sz w:val="22"/>
          <w:szCs w:val="22"/>
          <w:highlight w:val="white"/>
        </w:rPr>
        <w:t xml:space="preserve">Wien, </w:t>
      </w:r>
      <w:r w:rsidR="005B63E1">
        <w:rPr>
          <w:rFonts w:ascii="Calibri" w:eastAsia="Calibri" w:hAnsi="Calibri" w:cs="Calibri"/>
          <w:color w:val="000000"/>
          <w:sz w:val="22"/>
          <w:szCs w:val="22"/>
          <w:highlight w:val="white"/>
        </w:rPr>
        <w:t>27</w:t>
      </w:r>
      <w:r>
        <w:rPr>
          <w:rFonts w:ascii="Calibri" w:eastAsia="Calibri" w:hAnsi="Calibri" w:cs="Calibri"/>
          <w:color w:val="000000"/>
          <w:sz w:val="22"/>
          <w:szCs w:val="22"/>
          <w:highlight w:val="white"/>
        </w:rPr>
        <w:t>. Mai 2026 –</w:t>
      </w:r>
      <w:r w:rsidR="005B63E1">
        <w:rPr>
          <w:rFonts w:ascii="Calibri" w:eastAsia="Calibri" w:hAnsi="Calibri" w:cs="Calibri"/>
          <w:b/>
          <w:bCs/>
          <w:color w:val="444746"/>
          <w:sz w:val="22"/>
          <w:szCs w:val="22"/>
          <w:highlight w:val="white"/>
        </w:rPr>
        <w:t xml:space="preserve"> </w:t>
      </w:r>
      <w:proofErr w:type="spellStart"/>
      <w:proofErr w:type="gramStart"/>
      <w:r w:rsidR="003A665C" w:rsidRPr="003A665C">
        <w:rPr>
          <w:rFonts w:ascii="Calibri" w:eastAsia="Calibri" w:hAnsi="Calibri" w:cs="Calibri"/>
          <w:b/>
          <w:bCs/>
          <w:color w:val="444746"/>
          <w:sz w:val="22"/>
          <w:szCs w:val="22"/>
          <w:highlight w:val="white"/>
        </w:rPr>
        <w:t>Konsument:innen</w:t>
      </w:r>
      <w:proofErr w:type="spellEnd"/>
      <w:proofErr w:type="gramEnd"/>
      <w:r w:rsidR="003A665C" w:rsidRPr="003A665C">
        <w:rPr>
          <w:rFonts w:ascii="Calibri" w:eastAsia="Calibri" w:hAnsi="Calibri" w:cs="Calibri"/>
          <w:b/>
          <w:bCs/>
          <w:color w:val="444746"/>
          <w:sz w:val="22"/>
          <w:szCs w:val="22"/>
          <w:highlight w:val="white"/>
        </w:rPr>
        <w:t xml:space="preserve"> in Österreich kaufen 2026 bewusster, strategischer und digital vorbereiteter als je zuvor. Angebote, Preis-Leistungs-Verhältnis und digitale Einkaufsplanung bestimmen zunehmend, wo gekauft wird – der eigentliche Kaufabschluss erfolgt jedoch weiterhin überwiegend im stationären Handel. Das zeigt die aktuelle europäische Studie „The State </w:t>
      </w:r>
      <w:proofErr w:type="spellStart"/>
      <w:r w:rsidR="003A665C" w:rsidRPr="003A665C">
        <w:rPr>
          <w:rFonts w:ascii="Calibri" w:eastAsia="Calibri" w:hAnsi="Calibri" w:cs="Calibri"/>
          <w:b/>
          <w:bCs/>
          <w:color w:val="444746"/>
          <w:sz w:val="22"/>
          <w:szCs w:val="22"/>
          <w:highlight w:val="white"/>
        </w:rPr>
        <w:t>of</w:t>
      </w:r>
      <w:proofErr w:type="spellEnd"/>
      <w:r w:rsidR="003A665C" w:rsidRPr="003A665C">
        <w:rPr>
          <w:rFonts w:ascii="Calibri" w:eastAsia="Calibri" w:hAnsi="Calibri" w:cs="Calibri"/>
          <w:b/>
          <w:bCs/>
          <w:color w:val="444746"/>
          <w:sz w:val="22"/>
          <w:szCs w:val="22"/>
          <w:highlight w:val="white"/>
        </w:rPr>
        <w:t xml:space="preserve"> Shopping 2026“ von </w:t>
      </w:r>
      <w:proofErr w:type="spellStart"/>
      <w:r w:rsidR="003A665C" w:rsidRPr="003A665C">
        <w:rPr>
          <w:rFonts w:ascii="Calibri" w:eastAsia="Calibri" w:hAnsi="Calibri" w:cs="Calibri"/>
          <w:b/>
          <w:bCs/>
          <w:color w:val="444746"/>
          <w:sz w:val="22"/>
          <w:szCs w:val="22"/>
          <w:highlight w:val="white"/>
        </w:rPr>
        <w:t>Shopfully</w:t>
      </w:r>
      <w:proofErr w:type="spellEnd"/>
      <w:r w:rsidR="003A665C" w:rsidRPr="003A665C">
        <w:rPr>
          <w:rFonts w:ascii="Calibri" w:eastAsia="Calibri" w:hAnsi="Calibri" w:cs="Calibri"/>
          <w:b/>
          <w:bCs/>
          <w:color w:val="444746"/>
          <w:sz w:val="22"/>
          <w:szCs w:val="22"/>
          <w:highlight w:val="white"/>
        </w:rPr>
        <w:t xml:space="preserve">, für die mehr als 6.600 </w:t>
      </w:r>
      <w:proofErr w:type="spellStart"/>
      <w:proofErr w:type="gramStart"/>
      <w:r w:rsidR="003A665C" w:rsidRPr="003A665C">
        <w:rPr>
          <w:rFonts w:ascii="Calibri" w:eastAsia="Calibri" w:hAnsi="Calibri" w:cs="Calibri"/>
          <w:b/>
          <w:bCs/>
          <w:color w:val="444746"/>
          <w:sz w:val="22"/>
          <w:szCs w:val="22"/>
          <w:highlight w:val="white"/>
        </w:rPr>
        <w:t>Konsument:innen</w:t>
      </w:r>
      <w:proofErr w:type="spellEnd"/>
      <w:proofErr w:type="gramEnd"/>
      <w:r w:rsidR="003A665C" w:rsidRPr="003A665C">
        <w:rPr>
          <w:rFonts w:ascii="Calibri" w:eastAsia="Calibri" w:hAnsi="Calibri" w:cs="Calibri"/>
          <w:b/>
          <w:bCs/>
          <w:color w:val="444746"/>
          <w:sz w:val="22"/>
          <w:szCs w:val="22"/>
          <w:highlight w:val="white"/>
        </w:rPr>
        <w:t xml:space="preserve"> in acht europäischen Ländern befragt wurden.</w:t>
      </w:r>
    </w:p>
    <w:p w14:paraId="0B763EF1" w14:textId="77777777" w:rsidR="005B63E1" w:rsidRPr="003A665C" w:rsidRDefault="005B63E1" w:rsidP="005B63E1">
      <w:pPr>
        <w:pBdr>
          <w:top w:val="nil"/>
          <w:left w:val="nil"/>
          <w:bottom w:val="nil"/>
          <w:right w:val="nil"/>
          <w:between w:val="nil"/>
        </w:pBdr>
        <w:jc w:val="both"/>
        <w:rPr>
          <w:rFonts w:ascii="Calibri" w:eastAsia="Calibri" w:hAnsi="Calibri" w:cs="Calibri"/>
          <w:b/>
          <w:bCs/>
          <w:color w:val="444746"/>
          <w:sz w:val="22"/>
          <w:szCs w:val="22"/>
          <w:highlight w:val="white"/>
        </w:rPr>
      </w:pPr>
    </w:p>
    <w:p w14:paraId="2A4F199D" w14:textId="77777777" w:rsidR="005B63E1" w:rsidRDefault="003A665C" w:rsidP="005B63E1">
      <w:pPr>
        <w:pStyle w:val="StandardWeb"/>
        <w:spacing w:before="0" w:beforeAutospacing="0" w:after="0" w:afterAutospacing="0"/>
        <w:jc w:val="both"/>
        <w:rPr>
          <w:rFonts w:ascii="Calibri" w:eastAsia="Calibri" w:hAnsi="Calibri" w:cs="Calibri"/>
          <w:color w:val="000000"/>
          <w:sz w:val="22"/>
          <w:szCs w:val="22"/>
        </w:rPr>
      </w:pPr>
      <w:r w:rsidRPr="005B63E1">
        <w:rPr>
          <w:rFonts w:ascii="Calibri" w:eastAsia="Calibri" w:hAnsi="Calibri" w:cs="Calibri"/>
          <w:color w:val="000000"/>
          <w:sz w:val="22"/>
          <w:szCs w:val="22"/>
        </w:rPr>
        <w:t>93 Prozent der österreichischen Befragten informieren sich bereits online, bevor sie ein Geschäft betreten. Gleichzeitig kaufen 60 Prozent überwiegend stationär ein. Die Customer Journey wird damit immer hybrider: Digitale Kanäle beeinflussen die Kaufentscheidung, der stationäre Handel bleibt jedoch zentraler Ort des Einkaufs.</w:t>
      </w:r>
    </w:p>
    <w:p w14:paraId="0005BE1C" w14:textId="77777777" w:rsidR="005B63E1" w:rsidRDefault="005B63E1" w:rsidP="005B63E1">
      <w:pPr>
        <w:pStyle w:val="StandardWeb"/>
        <w:spacing w:before="0" w:beforeAutospacing="0" w:after="0" w:afterAutospacing="0"/>
        <w:jc w:val="both"/>
        <w:rPr>
          <w:rFonts w:ascii="Calibri" w:eastAsia="Calibri" w:hAnsi="Calibri" w:cs="Calibri"/>
          <w:b/>
          <w:bCs/>
          <w:color w:val="000000"/>
          <w:sz w:val="22"/>
          <w:szCs w:val="22"/>
          <w:highlight w:val="white"/>
        </w:rPr>
      </w:pPr>
    </w:p>
    <w:p w14:paraId="7DE54176" w14:textId="00B6CDE7" w:rsidR="00D17C38" w:rsidRDefault="00000000" w:rsidP="005B63E1">
      <w:pPr>
        <w:pStyle w:val="StandardWeb"/>
        <w:spacing w:before="0" w:beforeAutospacing="0" w:after="0" w:afterAutospacing="0"/>
        <w:jc w:val="both"/>
        <w:rPr>
          <w:rFonts w:ascii="Calibri" w:eastAsia="Calibri" w:hAnsi="Calibri" w:cs="Calibri"/>
          <w:color w:val="000000"/>
          <w:sz w:val="22"/>
          <w:szCs w:val="22"/>
        </w:rPr>
      </w:pPr>
      <w:r>
        <w:rPr>
          <w:rFonts w:ascii="Calibri" w:eastAsia="Calibri" w:hAnsi="Calibri" w:cs="Calibri"/>
          <w:b/>
          <w:bCs/>
          <w:color w:val="000000"/>
          <w:sz w:val="22"/>
          <w:szCs w:val="22"/>
          <w:highlight w:val="white"/>
        </w:rPr>
        <w:t>Österreich bleibt beim Blick auf die Kaufkraft optimistischer</w:t>
      </w:r>
    </w:p>
    <w:p w14:paraId="5F0D4746" w14:textId="77777777" w:rsidR="00D17C38" w:rsidRDefault="00000000" w:rsidP="005B63E1">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Mit 45 Prozent der Befragten, die von steigender Kaufkraft </w:t>
      </w:r>
      <w:r>
        <w:rPr>
          <w:rFonts w:ascii="Calibri" w:eastAsia="Calibri" w:hAnsi="Calibri" w:cs="Calibri"/>
          <w:color w:val="000000"/>
          <w:sz w:val="22"/>
          <w:szCs w:val="22"/>
        </w:rPr>
        <w:t xml:space="preserve">für 2026 ausgehen, liegt Österreich klar über dem europäischen Durchschnitt von 33 Prozent. </w:t>
      </w:r>
      <w:r>
        <w:rPr>
          <w:rFonts w:ascii="Calibri" w:eastAsia="Calibri" w:hAnsi="Calibri" w:cs="Calibri"/>
          <w:color w:val="000000"/>
          <w:sz w:val="22"/>
          <w:szCs w:val="22"/>
          <w:highlight w:val="white"/>
        </w:rPr>
        <w:t xml:space="preserve">Trotz eines Rückgangs des Optimismus um 13 Prozentpunkte – nur Bulgarien und Rumänien verzeichnen mit 15 Prozentpunkten stärkere Einbußen – behauptet Österreich seine Spitzenposition und ist </w:t>
      </w:r>
      <w:r>
        <w:rPr>
          <w:rFonts w:ascii="Calibri" w:eastAsia="Calibri" w:hAnsi="Calibri" w:cs="Calibri"/>
          <w:color w:val="000000"/>
          <w:sz w:val="22"/>
          <w:szCs w:val="22"/>
        </w:rPr>
        <w:t xml:space="preserve">der optimistischste Markt im Ländervergleich. Gleichzeitig bleibt die Ausgabendisziplin hoch: 38 Prozent wollen trotz erwarteter Kaufkrafterweiterung weiterhin sparen. </w:t>
      </w:r>
    </w:p>
    <w:p w14:paraId="1B742891" w14:textId="77777777" w:rsidR="00D17C38" w:rsidRDefault="00D17C38" w:rsidP="005B63E1">
      <w:pPr>
        <w:jc w:val="both"/>
        <w:rPr>
          <w:rFonts w:ascii="Calibri" w:eastAsia="Calibri" w:hAnsi="Calibri" w:cs="Calibri"/>
          <w:b/>
          <w:bCs/>
          <w:color w:val="000000"/>
          <w:sz w:val="22"/>
          <w:szCs w:val="22"/>
        </w:rPr>
      </w:pPr>
    </w:p>
    <w:p w14:paraId="5244F7E0" w14:textId="77777777" w:rsidR="00D17C38" w:rsidRDefault="00000000" w:rsidP="005B63E1">
      <w:pPr>
        <w:jc w:val="both"/>
        <w:rPr>
          <w:rFonts w:ascii="Calibri" w:eastAsia="Calibri" w:hAnsi="Calibri" w:cs="Calibri"/>
          <w:b/>
          <w:bCs/>
          <w:color w:val="000000"/>
          <w:sz w:val="22"/>
          <w:szCs w:val="22"/>
        </w:rPr>
      </w:pPr>
      <w:r>
        <w:rPr>
          <w:rFonts w:ascii="Calibri" w:eastAsia="Calibri" w:hAnsi="Calibri" w:cs="Calibri"/>
          <w:b/>
          <w:bCs/>
          <w:color w:val="000000"/>
          <w:sz w:val="22"/>
          <w:szCs w:val="22"/>
        </w:rPr>
        <w:t>Die Einkaufsreise beginnt online</w:t>
      </w:r>
    </w:p>
    <w:p w14:paraId="3AE624DE" w14:textId="2CA2AFE5" w:rsidR="00D17C38" w:rsidRDefault="00000000" w:rsidP="005B63E1">
      <w:pPr>
        <w:jc w:val="both"/>
        <w:rPr>
          <w:rFonts w:ascii="Calibri" w:eastAsia="Calibri" w:hAnsi="Calibri" w:cs="Calibri"/>
          <w:color w:val="000000"/>
          <w:sz w:val="22"/>
          <w:szCs w:val="22"/>
        </w:rPr>
      </w:pPr>
      <w:r>
        <w:rPr>
          <w:rFonts w:ascii="Calibri" w:eastAsia="Calibri" w:hAnsi="Calibri" w:cs="Calibri"/>
          <w:color w:val="000000"/>
          <w:sz w:val="22"/>
          <w:szCs w:val="22"/>
        </w:rPr>
        <w:t xml:space="preserve">Der Kaufabschluss erfolgt überwiegend stationär, die Entscheidungsfindung ist jedoch mittlerweile klar digital geprägt. 93 Prozent der österreichischen bzw. 91 Prozent der europäischen Befragten informieren sich vor dem Kauf online. Dieser Anteil betrug 2025 in Österreich noch 86 Prozent (EU: 82). </w:t>
      </w:r>
      <w:r w:rsidR="00F44D64" w:rsidRPr="00F44D64">
        <w:rPr>
          <w:rFonts w:ascii="Calibri" w:eastAsia="Calibri" w:hAnsi="Calibri" w:cs="Calibri"/>
          <w:color w:val="000000"/>
          <w:sz w:val="22"/>
          <w:szCs w:val="22"/>
        </w:rPr>
        <w:t xml:space="preserve">59 Prozent der </w:t>
      </w:r>
      <w:proofErr w:type="spellStart"/>
      <w:proofErr w:type="gramStart"/>
      <w:r w:rsidR="00F44D64" w:rsidRPr="00F44D64">
        <w:rPr>
          <w:rFonts w:ascii="Calibri" w:eastAsia="Calibri" w:hAnsi="Calibri" w:cs="Calibri"/>
          <w:color w:val="000000"/>
          <w:sz w:val="22"/>
          <w:szCs w:val="22"/>
        </w:rPr>
        <w:t>Österreicher:innen</w:t>
      </w:r>
      <w:proofErr w:type="spellEnd"/>
      <w:proofErr w:type="gramEnd"/>
      <w:r w:rsidR="00F44D64" w:rsidRPr="00F44D64">
        <w:rPr>
          <w:rFonts w:ascii="Calibri" w:eastAsia="Calibri" w:hAnsi="Calibri" w:cs="Calibri"/>
          <w:color w:val="000000"/>
          <w:sz w:val="22"/>
          <w:szCs w:val="22"/>
        </w:rPr>
        <w:t xml:space="preserve"> geben mittlerweile an, sich immer oder häufig vor einem Kauf online zu informieren.</w:t>
      </w:r>
      <w:r w:rsidR="00F44D64">
        <w:rPr>
          <w:rFonts w:ascii="Calibri" w:eastAsia="Calibri" w:hAnsi="Calibri" w:cs="Calibri"/>
          <w:color w:val="000000"/>
          <w:sz w:val="22"/>
          <w:szCs w:val="22"/>
        </w:rPr>
        <w:t xml:space="preserve"> </w:t>
      </w:r>
      <w:r>
        <w:rPr>
          <w:rFonts w:ascii="Calibri" w:eastAsia="Calibri" w:hAnsi="Calibri" w:cs="Calibri"/>
          <w:color w:val="000000"/>
          <w:sz w:val="22"/>
          <w:szCs w:val="22"/>
        </w:rPr>
        <w:t>Gleichzeitig ist der Anteil derjenigen, die dies nie tun, von 1</w:t>
      </w:r>
      <w:r w:rsidR="00E37392">
        <w:rPr>
          <w:rFonts w:ascii="Calibri" w:eastAsia="Calibri" w:hAnsi="Calibri" w:cs="Calibri"/>
          <w:color w:val="000000"/>
          <w:sz w:val="22"/>
          <w:szCs w:val="22"/>
        </w:rPr>
        <w:t>4</w:t>
      </w:r>
      <w:r>
        <w:rPr>
          <w:rFonts w:ascii="Calibri" w:eastAsia="Calibri" w:hAnsi="Calibri" w:cs="Calibri"/>
          <w:color w:val="000000"/>
          <w:sz w:val="22"/>
          <w:szCs w:val="22"/>
        </w:rPr>
        <w:t xml:space="preserve"> auf </w:t>
      </w:r>
      <w:r w:rsidR="00E37392">
        <w:rPr>
          <w:rFonts w:ascii="Calibri" w:eastAsia="Calibri" w:hAnsi="Calibri" w:cs="Calibri"/>
          <w:color w:val="000000"/>
          <w:sz w:val="22"/>
          <w:szCs w:val="22"/>
        </w:rPr>
        <w:t>7</w:t>
      </w:r>
      <w:r>
        <w:rPr>
          <w:rFonts w:ascii="Calibri" w:eastAsia="Calibri" w:hAnsi="Calibri" w:cs="Calibri"/>
          <w:color w:val="000000"/>
          <w:sz w:val="22"/>
          <w:szCs w:val="22"/>
        </w:rPr>
        <w:t xml:space="preserve"> Prozent gesunken (EU: 1</w:t>
      </w:r>
      <w:r w:rsidR="007144B0">
        <w:rPr>
          <w:rFonts w:ascii="Calibri" w:eastAsia="Calibri" w:hAnsi="Calibri" w:cs="Calibri"/>
          <w:color w:val="000000"/>
          <w:sz w:val="22"/>
          <w:szCs w:val="22"/>
        </w:rPr>
        <w:t>8</w:t>
      </w:r>
      <w:r>
        <w:rPr>
          <w:rFonts w:ascii="Calibri" w:eastAsia="Calibri" w:hAnsi="Calibri" w:cs="Calibri"/>
          <w:color w:val="000000"/>
          <w:sz w:val="22"/>
          <w:szCs w:val="22"/>
        </w:rPr>
        <w:t xml:space="preserve"> auf </w:t>
      </w:r>
      <w:r w:rsidR="00E37392">
        <w:rPr>
          <w:rFonts w:ascii="Calibri" w:eastAsia="Calibri" w:hAnsi="Calibri" w:cs="Calibri"/>
          <w:color w:val="000000"/>
          <w:sz w:val="22"/>
          <w:szCs w:val="22"/>
        </w:rPr>
        <w:t>9</w:t>
      </w:r>
      <w:r>
        <w:rPr>
          <w:rFonts w:ascii="Calibri" w:eastAsia="Calibri" w:hAnsi="Calibri" w:cs="Calibri"/>
          <w:color w:val="000000"/>
          <w:sz w:val="22"/>
          <w:szCs w:val="22"/>
        </w:rPr>
        <w:t xml:space="preserve">). </w:t>
      </w:r>
      <w:proofErr w:type="spellStart"/>
      <w:proofErr w:type="gramStart"/>
      <w:r>
        <w:rPr>
          <w:rFonts w:ascii="Calibri" w:eastAsia="Calibri" w:hAnsi="Calibri" w:cs="Calibri"/>
          <w:color w:val="000000"/>
          <w:sz w:val="22"/>
          <w:szCs w:val="22"/>
        </w:rPr>
        <w:t>Käufer:innen</w:t>
      </w:r>
      <w:proofErr w:type="spellEnd"/>
      <w:proofErr w:type="gramEnd"/>
      <w:r>
        <w:rPr>
          <w:rFonts w:ascii="Calibri" w:eastAsia="Calibri" w:hAnsi="Calibri" w:cs="Calibri"/>
          <w:color w:val="000000"/>
          <w:sz w:val="22"/>
          <w:szCs w:val="22"/>
        </w:rPr>
        <w:t xml:space="preserve"> stöbern nicht nur nach Inspiration, sondern suchen aktiv nach Schnäppchen, vergleichen Händler und planen ihre Einkäufe, bevor sie ein Geschäft betreten. 52 Prozent (auch EU) suchen über Aktionsplattformen. </w:t>
      </w:r>
    </w:p>
    <w:p w14:paraId="2A211FFB" w14:textId="77777777" w:rsidR="00D17C38" w:rsidRDefault="00D17C38" w:rsidP="005B63E1">
      <w:pPr>
        <w:jc w:val="both"/>
        <w:rPr>
          <w:rFonts w:ascii="Calibri" w:eastAsia="Calibri" w:hAnsi="Calibri" w:cs="Calibri"/>
          <w:color w:val="000000"/>
          <w:sz w:val="22"/>
          <w:szCs w:val="22"/>
          <w:highlight w:val="white"/>
        </w:rPr>
      </w:pPr>
    </w:p>
    <w:p w14:paraId="53D4B706" w14:textId="77777777" w:rsidR="00D17C38" w:rsidRDefault="00000000">
      <w:pPr>
        <w:jc w:val="both"/>
        <w:rPr>
          <w:color w:val="000000"/>
          <w:sz w:val="22"/>
          <w:szCs w:val="22"/>
        </w:rPr>
      </w:pPr>
      <w:r>
        <w:rPr>
          <w:rFonts w:ascii="Calibri" w:eastAsia="Calibri" w:hAnsi="Calibri" w:cs="Calibri"/>
          <w:b/>
          <w:bCs/>
          <w:color w:val="000000"/>
          <w:sz w:val="22"/>
          <w:szCs w:val="22"/>
          <w:highlight w:val="white"/>
        </w:rPr>
        <w:t>Sonderangebote bleiben entscheidend</w:t>
      </w:r>
    </w:p>
    <w:p w14:paraId="227E4F07" w14:textId="77777777" w:rsidR="00D17C38" w:rsidRDefault="00000000">
      <w:pPr>
        <w:jc w:val="both"/>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Sonderangebote und Preisvorteile sind der wichtigste Hebel: </w:t>
      </w:r>
      <w:r>
        <w:rPr>
          <w:rFonts w:ascii="Calibri" w:eastAsia="Calibri" w:hAnsi="Calibri" w:cs="Calibri"/>
          <w:color w:val="000000"/>
          <w:sz w:val="22"/>
          <w:szCs w:val="22"/>
        </w:rPr>
        <w:t xml:space="preserve">53 Prozent der </w:t>
      </w:r>
      <w:proofErr w:type="spellStart"/>
      <w:proofErr w:type="gramStart"/>
      <w:r>
        <w:rPr>
          <w:rFonts w:ascii="Calibri" w:eastAsia="Calibri" w:hAnsi="Calibri" w:cs="Calibri"/>
          <w:color w:val="000000"/>
          <w:sz w:val="22"/>
          <w:szCs w:val="22"/>
        </w:rPr>
        <w:t>Österreicher:innen</w:t>
      </w:r>
      <w:proofErr w:type="spellEnd"/>
      <w:proofErr w:type="gramEnd"/>
      <w:r>
        <w:rPr>
          <w:rFonts w:ascii="Calibri" w:eastAsia="Calibri" w:hAnsi="Calibri" w:cs="Calibri"/>
          <w:color w:val="000000"/>
          <w:sz w:val="22"/>
          <w:szCs w:val="22"/>
        </w:rPr>
        <w:t xml:space="preserve"> greifen gezielt zu reduzierten Produkten (EU: 52 Prozent). Gleichzeitig gehen viele Befragte strategischer vor, wenn es darum geht, wo sie einkaufen. 45 Prozent der </w:t>
      </w:r>
      <w:proofErr w:type="spellStart"/>
      <w:proofErr w:type="gramStart"/>
      <w:r>
        <w:rPr>
          <w:rFonts w:ascii="Calibri" w:eastAsia="Calibri" w:hAnsi="Calibri" w:cs="Calibri"/>
          <w:color w:val="000000"/>
          <w:sz w:val="22"/>
          <w:szCs w:val="22"/>
        </w:rPr>
        <w:t>Österreicher:innen</w:t>
      </w:r>
      <w:proofErr w:type="spellEnd"/>
      <w:proofErr w:type="gramEnd"/>
      <w:r>
        <w:rPr>
          <w:rFonts w:ascii="Calibri" w:eastAsia="Calibri" w:hAnsi="Calibri" w:cs="Calibri"/>
          <w:color w:val="000000"/>
          <w:sz w:val="22"/>
          <w:szCs w:val="22"/>
        </w:rPr>
        <w:t xml:space="preserve"> (EU: 44) verteilen ihre Einkäufe auf verschiedene Händler, um die besten Angebote zu finden. 44 Prozent der </w:t>
      </w:r>
      <w:proofErr w:type="spellStart"/>
      <w:proofErr w:type="gramStart"/>
      <w:r>
        <w:rPr>
          <w:rFonts w:ascii="Calibri" w:eastAsia="Calibri" w:hAnsi="Calibri" w:cs="Calibri"/>
          <w:color w:val="000000"/>
          <w:sz w:val="22"/>
          <w:szCs w:val="22"/>
        </w:rPr>
        <w:t>Österreicher:innen</w:t>
      </w:r>
      <w:proofErr w:type="spellEnd"/>
      <w:proofErr w:type="gramEnd"/>
      <w:r>
        <w:rPr>
          <w:rFonts w:ascii="Calibri" w:eastAsia="Calibri" w:hAnsi="Calibri" w:cs="Calibri"/>
          <w:color w:val="000000"/>
          <w:sz w:val="22"/>
          <w:szCs w:val="22"/>
        </w:rPr>
        <w:t xml:space="preserve"> (EU: 42) reduzieren nicht lebensnotwendige Anschaffungen. Auch auf Markenebene findet ein struktureller Wandel statt. 37 Prozent der </w:t>
      </w:r>
      <w:proofErr w:type="spellStart"/>
      <w:proofErr w:type="gramStart"/>
      <w:r>
        <w:rPr>
          <w:rFonts w:ascii="Calibri" w:eastAsia="Calibri" w:hAnsi="Calibri" w:cs="Calibri"/>
          <w:color w:val="000000"/>
          <w:sz w:val="22"/>
          <w:szCs w:val="22"/>
        </w:rPr>
        <w:t>Österreicher:innen</w:t>
      </w:r>
      <w:proofErr w:type="spellEnd"/>
      <w:proofErr w:type="gramEnd"/>
      <w:r>
        <w:rPr>
          <w:rFonts w:ascii="Calibri" w:eastAsia="Calibri" w:hAnsi="Calibri" w:cs="Calibri"/>
          <w:color w:val="000000"/>
          <w:sz w:val="22"/>
          <w:szCs w:val="22"/>
        </w:rPr>
        <w:t xml:space="preserve"> wechseln häufiger zu günstigeren Marken oder Eigenmarken – höher sind die Werte nur in Frankreich (41) und Spanien (37). Einschränken möchten sich die Befragten vor allem bei Kleidung (35 Prozent, EU: 36), Möbel (34, EU: 46) und Elektronik (34, EU: 41). </w:t>
      </w:r>
    </w:p>
    <w:p w14:paraId="62AA7DF5" w14:textId="77777777" w:rsidR="00D17C38" w:rsidRDefault="00D17C38">
      <w:pPr>
        <w:jc w:val="both"/>
        <w:rPr>
          <w:rFonts w:ascii="Calibri" w:eastAsia="Calibri" w:hAnsi="Calibri" w:cs="Calibri"/>
          <w:color w:val="000000"/>
          <w:sz w:val="22"/>
          <w:szCs w:val="22"/>
        </w:rPr>
      </w:pPr>
    </w:p>
    <w:p w14:paraId="41AF059B" w14:textId="77777777" w:rsidR="00D17C38"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The </w:t>
      </w:r>
      <w:proofErr w:type="spellStart"/>
      <w:r>
        <w:rPr>
          <w:rFonts w:ascii="Calibri" w:eastAsia="Calibri" w:hAnsi="Calibri" w:cs="Calibri"/>
          <w:b/>
          <w:bCs/>
          <w:color w:val="000000"/>
          <w:sz w:val="22"/>
          <w:szCs w:val="22"/>
        </w:rPr>
        <w:t>place</w:t>
      </w:r>
      <w:proofErr w:type="spellEnd"/>
      <w:r>
        <w:rPr>
          <w:rFonts w:ascii="Calibri" w:eastAsia="Calibri" w:hAnsi="Calibri" w:cs="Calibri"/>
          <w:b/>
          <w:bCs/>
          <w:color w:val="000000"/>
          <w:sz w:val="22"/>
          <w:szCs w:val="22"/>
        </w:rPr>
        <w:t xml:space="preserve"> </w:t>
      </w:r>
      <w:proofErr w:type="spellStart"/>
      <w:r>
        <w:rPr>
          <w:rFonts w:ascii="Calibri" w:eastAsia="Calibri" w:hAnsi="Calibri" w:cs="Calibri"/>
          <w:b/>
          <w:bCs/>
          <w:color w:val="000000"/>
          <w:sz w:val="22"/>
          <w:szCs w:val="22"/>
        </w:rPr>
        <w:t>to</w:t>
      </w:r>
      <w:proofErr w:type="spellEnd"/>
      <w:r>
        <w:rPr>
          <w:rFonts w:ascii="Calibri" w:eastAsia="Calibri" w:hAnsi="Calibri" w:cs="Calibri"/>
          <w:b/>
          <w:bCs/>
          <w:color w:val="000000"/>
          <w:sz w:val="22"/>
          <w:szCs w:val="22"/>
        </w:rPr>
        <w:t xml:space="preserve"> </w:t>
      </w:r>
      <w:proofErr w:type="spellStart"/>
      <w:r>
        <w:rPr>
          <w:rFonts w:ascii="Calibri" w:eastAsia="Calibri" w:hAnsi="Calibri" w:cs="Calibri"/>
          <w:b/>
          <w:bCs/>
          <w:color w:val="000000"/>
          <w:sz w:val="22"/>
          <w:szCs w:val="22"/>
        </w:rPr>
        <w:t>shop</w:t>
      </w:r>
      <w:proofErr w:type="spellEnd"/>
      <w:r>
        <w:rPr>
          <w:rFonts w:ascii="Calibri" w:eastAsia="Calibri" w:hAnsi="Calibri" w:cs="Calibri"/>
          <w:b/>
          <w:bCs/>
          <w:color w:val="000000"/>
          <w:sz w:val="22"/>
          <w:szCs w:val="22"/>
        </w:rPr>
        <w:t>: Das physische Geschäft</w:t>
      </w:r>
    </w:p>
    <w:p w14:paraId="7276F0D5" w14:textId="77777777" w:rsidR="00D17C38"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60 Prozent der </w:t>
      </w:r>
      <w:proofErr w:type="spellStart"/>
      <w:proofErr w:type="gramStart"/>
      <w:r>
        <w:rPr>
          <w:rFonts w:ascii="Calibri" w:eastAsia="Calibri" w:hAnsi="Calibri" w:cs="Calibri"/>
          <w:color w:val="000000"/>
          <w:sz w:val="22"/>
          <w:szCs w:val="22"/>
        </w:rPr>
        <w:t>Österreicher:innen</w:t>
      </w:r>
      <w:proofErr w:type="spellEnd"/>
      <w:proofErr w:type="gramEnd"/>
      <w:r>
        <w:rPr>
          <w:rFonts w:ascii="Calibri" w:eastAsia="Calibri" w:hAnsi="Calibri" w:cs="Calibri"/>
          <w:color w:val="000000"/>
          <w:sz w:val="22"/>
          <w:szCs w:val="22"/>
        </w:rPr>
        <w:t xml:space="preserve"> (EU: 62) kaufen überwiegend im stationären Handel, während nur 2 Prozent (auch EU) hauptsächlich online einkaufen. Hybrides Einkaufen ist mittlerweile in allen Märkten zur Normalität geworden. Im Vergleich zu 2025 stieg der Anteil der Befragten, die Online- </w:t>
      </w:r>
      <w:r>
        <w:rPr>
          <w:rFonts w:ascii="Calibri" w:eastAsia="Calibri" w:hAnsi="Calibri" w:cs="Calibri"/>
          <w:color w:val="000000"/>
          <w:sz w:val="22"/>
          <w:szCs w:val="22"/>
        </w:rPr>
        <w:lastRenderedPageBreak/>
        <w:t xml:space="preserve">und Ladeneinkäufe kombinieren, von 33 auf 37 Prozent (EU von 31 auf 36), während der Anteil der reinen Online-Einkäufer in Österreich von 13 auf 2 Prozent sank. Europaweit fiel dieser Wert von 6 auf 2 Prozent. Das Einkaufen wird flexibler, wobei </w:t>
      </w:r>
      <w:proofErr w:type="spellStart"/>
      <w:proofErr w:type="gramStart"/>
      <w:r>
        <w:rPr>
          <w:rFonts w:ascii="Calibri" w:eastAsia="Calibri" w:hAnsi="Calibri" w:cs="Calibri"/>
          <w:color w:val="000000"/>
          <w:sz w:val="22"/>
          <w:szCs w:val="22"/>
        </w:rPr>
        <w:t>Verbraucher:innen</w:t>
      </w:r>
      <w:proofErr w:type="spellEnd"/>
      <w:proofErr w:type="gramEnd"/>
      <w:r>
        <w:rPr>
          <w:rFonts w:ascii="Calibri" w:eastAsia="Calibri" w:hAnsi="Calibri" w:cs="Calibri"/>
          <w:color w:val="000000"/>
          <w:sz w:val="22"/>
          <w:szCs w:val="22"/>
        </w:rPr>
        <w:t xml:space="preserve"> zunehmend digitale und physische Kontaktpunkte in ein und demselben Einkaufserlebnis miteinander verbinden.</w:t>
      </w:r>
    </w:p>
    <w:p w14:paraId="5802204D" w14:textId="77777777" w:rsidR="00D17C38" w:rsidRDefault="00D17C38">
      <w:pPr>
        <w:jc w:val="both"/>
        <w:rPr>
          <w:color w:val="000000"/>
        </w:rPr>
      </w:pPr>
    </w:p>
    <w:p w14:paraId="649E0CCD" w14:textId="77777777" w:rsidR="00D17C38"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In Bereichen des täglichen Bedarfs dominiert nach wie vor der stationäre Handel. 96 Prozent der europäischen Befragten kaufen Lebensmittel und Getränke hauptsächlich im stationären Geschäft. In Italien und Spanien ist diese Präferenz sogar noch ausgeprägter (98), dicht gefolgt von Bulgarien, Deutschland und Österreich (97). Auch Apotheken (AT: 83, EU: 88) sowie Körperpflegeprodukte (AT: 90, EU: 83) sind nach wie vor fest im stationären Handel verankert. In Kategorien wie Elektronik (AT: 30, EU: 24), Mode (AT: 28, EU: 21) und Spielzeug (AT: 20, EU: 16) ist der Online-Einkauf beliebter, spielt aber immer noch eine untergeordnete Rolle gegenüber dem stationären Handel. </w:t>
      </w:r>
    </w:p>
    <w:p w14:paraId="1E5E04B8" w14:textId="77777777" w:rsidR="00D17C38" w:rsidRDefault="00D17C38">
      <w:pPr>
        <w:jc w:val="both"/>
        <w:rPr>
          <w:rFonts w:ascii="Calibri" w:eastAsia="Calibri" w:hAnsi="Calibri" w:cs="Calibri"/>
          <w:color w:val="000000"/>
          <w:sz w:val="22"/>
          <w:szCs w:val="22"/>
        </w:rPr>
      </w:pPr>
    </w:p>
    <w:p w14:paraId="17E7BE12" w14:textId="77777777" w:rsidR="00D17C38"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Daten werden geteilt, wenn der Nutzen klar ist</w:t>
      </w:r>
    </w:p>
    <w:p w14:paraId="307366FF" w14:textId="77777777" w:rsidR="00D17C38"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Während 38 Prozent (EU: 36 Prozent) ihre Daten grundsätzlich nicht mit Händlern teilen möchten, würden 39 Prozent (EU: 38) dies tun, um bessere Angebote und Rabatte zu erhalten. Weitere 18 Prozent (EU: 29) würden Daten für relevantere Aktionen und personalisierte Angebote teilen.</w:t>
      </w:r>
    </w:p>
    <w:p w14:paraId="56430FCA" w14:textId="77777777" w:rsidR="00D17C38" w:rsidRDefault="00D17C38">
      <w:pPr>
        <w:pBdr>
          <w:top w:val="nil"/>
          <w:left w:val="nil"/>
          <w:bottom w:val="nil"/>
          <w:right w:val="nil"/>
          <w:between w:val="nil"/>
        </w:pBdr>
        <w:jc w:val="both"/>
        <w:rPr>
          <w:rFonts w:ascii="Calibri" w:eastAsia="Calibri" w:hAnsi="Calibri" w:cs="Calibri"/>
          <w:color w:val="000000"/>
          <w:sz w:val="22"/>
          <w:szCs w:val="22"/>
        </w:rPr>
      </w:pPr>
    </w:p>
    <w:p w14:paraId="65C19957" w14:textId="77777777" w:rsidR="00D17C38" w:rsidRDefault="00000000">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Treue ist zunehmend an Bedingungen geknüpft</w:t>
      </w:r>
    </w:p>
    <w:p w14:paraId="4F247A18" w14:textId="4FA3BFED" w:rsidR="00D17C38"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Die europäischen Befragten zeigen nach wie vor eine klare Bindung an vertraute Händler, doch diese Treue ist nicht unerschütterlich. Die Wahl des Geschäfts wird durch eine Kombination aus Gewohnheit, Bequemlichkeit, Sonderangeboten und Markenverfügbarkeit bestimmt. Das Ergebnis ist eine Handelslandschaft, in der </w:t>
      </w:r>
      <w:proofErr w:type="spellStart"/>
      <w:proofErr w:type="gramStart"/>
      <w:r>
        <w:rPr>
          <w:rFonts w:ascii="Calibri" w:eastAsia="Calibri" w:hAnsi="Calibri" w:cs="Calibri"/>
          <w:color w:val="000000"/>
          <w:sz w:val="22"/>
          <w:szCs w:val="22"/>
        </w:rPr>
        <w:t>Käufer:innen</w:t>
      </w:r>
      <w:proofErr w:type="spellEnd"/>
      <w:proofErr w:type="gramEnd"/>
      <w:r>
        <w:rPr>
          <w:rFonts w:ascii="Calibri" w:eastAsia="Calibri" w:hAnsi="Calibri" w:cs="Calibri"/>
          <w:color w:val="000000"/>
          <w:sz w:val="22"/>
          <w:szCs w:val="22"/>
        </w:rPr>
        <w:t xml:space="preserve"> zwar regelmäßig zu denselben Ketten zurückkehren, aber auch offen für einen Wechsel sind, wenn das Preis-Leistungs-Verhältnis stimmt. Was die </w:t>
      </w:r>
      <w:proofErr w:type="spellStart"/>
      <w:proofErr w:type="gramStart"/>
      <w:r>
        <w:rPr>
          <w:rFonts w:ascii="Calibri" w:eastAsia="Calibri" w:hAnsi="Calibri" w:cs="Calibri"/>
          <w:color w:val="000000"/>
          <w:sz w:val="22"/>
          <w:szCs w:val="22"/>
        </w:rPr>
        <w:t>Kund:innenbindung</w:t>
      </w:r>
      <w:proofErr w:type="spellEnd"/>
      <w:proofErr w:type="gramEnd"/>
      <w:r>
        <w:rPr>
          <w:rFonts w:ascii="Calibri" w:eastAsia="Calibri" w:hAnsi="Calibri" w:cs="Calibri"/>
          <w:color w:val="000000"/>
          <w:sz w:val="22"/>
          <w:szCs w:val="22"/>
        </w:rPr>
        <w:t xml:space="preserve"> flüchtiger macht, ist die wachsende Bedeutung von Sonderangeboten. </w:t>
      </w:r>
      <w:r w:rsidR="00F72CEA">
        <w:rPr>
          <w:rFonts w:ascii="Calibri" w:eastAsia="Calibri" w:hAnsi="Calibri" w:cs="Calibri"/>
          <w:color w:val="000000"/>
          <w:sz w:val="22"/>
          <w:szCs w:val="22"/>
        </w:rPr>
        <w:t>5</w:t>
      </w:r>
      <w:r>
        <w:rPr>
          <w:rFonts w:ascii="Calibri" w:eastAsia="Calibri" w:hAnsi="Calibri" w:cs="Calibri"/>
          <w:color w:val="000000"/>
          <w:sz w:val="22"/>
          <w:szCs w:val="22"/>
        </w:rPr>
        <w:t xml:space="preserve">6 Prozent der europäischen Befragten geben an, dass sie bereit sind, ihren üblichen Händler je nach Sonderangebot und Schnäppchen zu wechseln. </w:t>
      </w:r>
      <w:r w:rsidR="00E972AE" w:rsidRPr="00E972AE">
        <w:rPr>
          <w:rFonts w:ascii="Calibri" w:eastAsia="Calibri" w:hAnsi="Calibri" w:cs="Calibri"/>
          <w:color w:val="000000"/>
          <w:sz w:val="22"/>
          <w:szCs w:val="22"/>
        </w:rPr>
        <w:t xml:space="preserve">Österreich zählt mit 57 Prozent zu den Märkten, in denen </w:t>
      </w:r>
      <w:proofErr w:type="spellStart"/>
      <w:proofErr w:type="gramStart"/>
      <w:r w:rsidR="00E972AE">
        <w:rPr>
          <w:rFonts w:ascii="Calibri" w:eastAsia="Calibri" w:hAnsi="Calibri" w:cs="Calibri"/>
          <w:color w:val="000000"/>
          <w:sz w:val="22"/>
          <w:szCs w:val="22"/>
        </w:rPr>
        <w:t>Konsument:innen</w:t>
      </w:r>
      <w:proofErr w:type="spellEnd"/>
      <w:proofErr w:type="gramEnd"/>
      <w:r w:rsidR="00E972AE" w:rsidRPr="00E972AE">
        <w:rPr>
          <w:rFonts w:ascii="Calibri" w:eastAsia="Calibri" w:hAnsi="Calibri" w:cs="Calibri"/>
          <w:color w:val="000000"/>
          <w:sz w:val="22"/>
          <w:szCs w:val="22"/>
        </w:rPr>
        <w:t xml:space="preserve"> besonders offen für einen Wechsel des gewohnten Händlers sind, wenn das Angebot überzeugend ist. Am höchsten ist die Wechselbereitschaft in Rumänien mit 69 Prozent, gefolgt von Italien mit 60 Prozent. </w:t>
      </w:r>
    </w:p>
    <w:p w14:paraId="456CBC3E" w14:textId="77777777" w:rsidR="00D17C38" w:rsidRDefault="00D17C38">
      <w:pPr>
        <w:pBdr>
          <w:top w:val="nil"/>
          <w:left w:val="nil"/>
          <w:bottom w:val="nil"/>
          <w:right w:val="nil"/>
          <w:between w:val="nil"/>
        </w:pBdr>
        <w:jc w:val="both"/>
        <w:rPr>
          <w:rFonts w:ascii="Calibri" w:eastAsia="Calibri" w:hAnsi="Calibri" w:cs="Calibri"/>
          <w:color w:val="000000"/>
          <w:sz w:val="22"/>
          <w:szCs w:val="22"/>
        </w:rPr>
      </w:pPr>
    </w:p>
    <w:p w14:paraId="02FC403C" w14:textId="1B947872" w:rsidR="005B63E1" w:rsidRDefault="005B63E1">
      <w:pPr>
        <w:pBdr>
          <w:top w:val="nil"/>
          <w:left w:val="nil"/>
          <w:bottom w:val="nil"/>
          <w:right w:val="nil"/>
          <w:between w:val="nil"/>
        </w:pBdr>
        <w:jc w:val="both"/>
        <w:rPr>
          <w:rFonts w:ascii="Calibri" w:eastAsia="Calibri" w:hAnsi="Calibri" w:cs="Calibri"/>
          <w:color w:val="000000"/>
          <w:sz w:val="22"/>
          <w:szCs w:val="22"/>
        </w:rPr>
      </w:pPr>
      <w:r w:rsidRPr="005B63E1">
        <w:rPr>
          <w:rFonts w:ascii="Calibri" w:eastAsia="Calibri" w:hAnsi="Calibri" w:cs="Calibri"/>
          <w:color w:val="000000"/>
          <w:sz w:val="22"/>
          <w:szCs w:val="22"/>
        </w:rPr>
        <w:t xml:space="preserve">„Die klassische Loyalität zum Händler nimmt ab, denn entscheidend sind heute Relevanz, Preis-Leistungs-Verhältnis und digitale Sichtbarkeit entlang der Einkaufsentscheidung“, sagt Alexandra Aichholzer, Country Manager von </w:t>
      </w:r>
      <w:proofErr w:type="spellStart"/>
      <w:r w:rsidRPr="005B63E1">
        <w:rPr>
          <w:rFonts w:ascii="Calibri" w:eastAsia="Calibri" w:hAnsi="Calibri" w:cs="Calibri"/>
          <w:color w:val="000000"/>
          <w:sz w:val="22"/>
          <w:szCs w:val="22"/>
        </w:rPr>
        <w:t>Shopfully</w:t>
      </w:r>
      <w:proofErr w:type="spellEnd"/>
      <w:r w:rsidRPr="005B63E1">
        <w:rPr>
          <w:rFonts w:ascii="Calibri" w:eastAsia="Calibri" w:hAnsi="Calibri" w:cs="Calibri"/>
          <w:color w:val="000000"/>
          <w:sz w:val="22"/>
          <w:szCs w:val="22"/>
        </w:rPr>
        <w:t xml:space="preserve"> Austria.</w:t>
      </w:r>
    </w:p>
    <w:p w14:paraId="46818A4A" w14:textId="77777777" w:rsidR="00D17C38" w:rsidRPr="005B63E1" w:rsidRDefault="00D17C38">
      <w:pPr>
        <w:pBdr>
          <w:top w:val="nil"/>
          <w:left w:val="nil"/>
          <w:bottom w:val="nil"/>
          <w:right w:val="nil"/>
          <w:between w:val="nil"/>
        </w:pBdr>
        <w:jc w:val="both"/>
        <w:rPr>
          <w:rFonts w:ascii="Calibri" w:eastAsia="Calibri" w:hAnsi="Calibri" w:cs="Calibri"/>
          <w:color w:val="000000"/>
          <w:sz w:val="22"/>
          <w:szCs w:val="22"/>
        </w:rPr>
      </w:pPr>
    </w:p>
    <w:p w14:paraId="72A30408" w14:textId="77777777" w:rsidR="00D17C38"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Studiensteckbrief: Für </w:t>
      </w:r>
      <w:r w:rsidRPr="005B63E1">
        <w:rPr>
          <w:rFonts w:ascii="Calibri" w:eastAsia="Calibri" w:hAnsi="Calibri" w:cs="Calibri"/>
          <w:color w:val="000000"/>
          <w:sz w:val="22"/>
          <w:szCs w:val="22"/>
        </w:rPr>
        <w:t xml:space="preserve">die Umfrage </w:t>
      </w:r>
      <w:r>
        <w:rPr>
          <w:rFonts w:ascii="Calibri" w:eastAsia="Calibri" w:hAnsi="Calibri" w:cs="Calibri"/>
          <w:color w:val="000000"/>
          <w:sz w:val="22"/>
          <w:szCs w:val="22"/>
        </w:rPr>
        <w:t xml:space="preserve">wurden 6.605 Personen ab </w:t>
      </w:r>
      <w:r w:rsidRPr="005B63E1">
        <w:rPr>
          <w:rFonts w:ascii="Calibri" w:eastAsia="Calibri" w:hAnsi="Calibri" w:cs="Calibri"/>
          <w:color w:val="000000"/>
          <w:sz w:val="22"/>
          <w:szCs w:val="22"/>
        </w:rPr>
        <w:t>25</w:t>
      </w:r>
      <w:r>
        <w:rPr>
          <w:rFonts w:ascii="Calibri" w:eastAsia="Calibri" w:hAnsi="Calibri" w:cs="Calibri"/>
          <w:color w:val="000000"/>
          <w:sz w:val="22"/>
          <w:szCs w:val="22"/>
        </w:rPr>
        <w:t xml:space="preserve"> Jahren in Bulgarien, Deutschland, Frankreich, Italien, Österreich, Rumänien, Spanien und Ungarn </w:t>
      </w:r>
      <w:r>
        <w:rPr>
          <w:rFonts w:ascii="Calibri" w:eastAsia="Calibri" w:hAnsi="Calibri" w:cs="Calibri"/>
          <w:sz w:val="22"/>
          <w:szCs w:val="22"/>
        </w:rPr>
        <w:t>in Q1</w:t>
      </w:r>
      <w:r>
        <w:rPr>
          <w:rFonts w:ascii="Calibri" w:eastAsia="Calibri" w:hAnsi="Calibri" w:cs="Calibri"/>
          <w:color w:val="000000"/>
          <w:sz w:val="22"/>
          <w:szCs w:val="22"/>
        </w:rPr>
        <w:t xml:space="preserve"> 202</w:t>
      </w:r>
      <w:r>
        <w:rPr>
          <w:rFonts w:ascii="Calibri" w:eastAsia="Calibri" w:hAnsi="Calibri" w:cs="Calibri"/>
          <w:sz w:val="22"/>
          <w:szCs w:val="22"/>
        </w:rPr>
        <w:t>6</w:t>
      </w:r>
      <w:r>
        <w:rPr>
          <w:rFonts w:ascii="Calibri" w:eastAsia="Calibri" w:hAnsi="Calibri" w:cs="Calibri"/>
          <w:color w:val="000000"/>
          <w:sz w:val="22"/>
          <w:szCs w:val="22"/>
        </w:rPr>
        <w:t xml:space="preserve"> in einer Online-Umfrage befragt.</w:t>
      </w:r>
    </w:p>
    <w:p w14:paraId="72DEAE39" w14:textId="77777777" w:rsidR="00D17C38" w:rsidRDefault="00D17C38">
      <w:pPr>
        <w:pBdr>
          <w:top w:val="nil"/>
          <w:left w:val="nil"/>
          <w:bottom w:val="nil"/>
          <w:right w:val="nil"/>
          <w:between w:val="nil"/>
        </w:pBdr>
        <w:jc w:val="both"/>
        <w:rPr>
          <w:rFonts w:ascii="Calibri" w:eastAsia="Calibri" w:hAnsi="Calibri" w:cs="Calibri"/>
          <w:b/>
          <w:bCs/>
          <w:color w:val="222222"/>
          <w:sz w:val="20"/>
          <w:szCs w:val="20"/>
          <w:highlight w:val="white"/>
        </w:rPr>
      </w:pPr>
    </w:p>
    <w:p w14:paraId="63CEC2B5" w14:textId="77777777" w:rsidR="00D17C38" w:rsidRDefault="00000000">
      <w:pPr>
        <w:pBdr>
          <w:top w:val="nil"/>
          <w:left w:val="nil"/>
          <w:bottom w:val="nil"/>
          <w:right w:val="nil"/>
          <w:between w:val="nil"/>
        </w:pBdr>
        <w:jc w:val="both"/>
        <w:rPr>
          <w:color w:val="000000"/>
        </w:rPr>
      </w:pPr>
      <w:r>
        <w:rPr>
          <w:rFonts w:ascii="Calibri" w:eastAsia="Calibri" w:hAnsi="Calibri" w:cs="Calibri"/>
          <w:b/>
          <w:bCs/>
          <w:color w:val="222222"/>
          <w:sz w:val="20"/>
          <w:szCs w:val="20"/>
          <w:highlight w:val="white"/>
        </w:rPr>
        <w:t>Foto:</w:t>
      </w:r>
      <w:r>
        <w:rPr>
          <w:rFonts w:ascii="Calibri" w:eastAsia="Calibri" w:hAnsi="Calibri" w:cs="Calibri"/>
          <w:color w:val="222222"/>
          <w:sz w:val="20"/>
          <w:szCs w:val="20"/>
          <w:highlight w:val="white"/>
        </w:rPr>
        <w:t xml:space="preserve"> State </w:t>
      </w:r>
      <w:proofErr w:type="spellStart"/>
      <w:r>
        <w:rPr>
          <w:rFonts w:ascii="Calibri" w:eastAsia="Calibri" w:hAnsi="Calibri" w:cs="Calibri"/>
          <w:color w:val="222222"/>
          <w:sz w:val="20"/>
          <w:szCs w:val="20"/>
          <w:highlight w:val="white"/>
        </w:rPr>
        <w:t>of</w:t>
      </w:r>
      <w:proofErr w:type="spellEnd"/>
      <w:r>
        <w:rPr>
          <w:rFonts w:ascii="Calibri" w:eastAsia="Calibri" w:hAnsi="Calibri" w:cs="Calibri"/>
          <w:color w:val="222222"/>
          <w:sz w:val="20"/>
          <w:szCs w:val="20"/>
          <w:highlight w:val="white"/>
        </w:rPr>
        <w:t xml:space="preserve"> Shopping: </w:t>
      </w:r>
      <w:proofErr w:type="spellStart"/>
      <w:r>
        <w:rPr>
          <w:rFonts w:ascii="Calibri" w:eastAsia="Calibri" w:hAnsi="Calibri" w:cs="Calibri"/>
          <w:color w:val="222222"/>
          <w:sz w:val="20"/>
          <w:szCs w:val="20"/>
          <w:highlight w:val="white"/>
        </w:rPr>
        <w:t>Shopfully</w:t>
      </w:r>
      <w:proofErr w:type="spellEnd"/>
      <w:r>
        <w:rPr>
          <w:rFonts w:ascii="Calibri" w:eastAsia="Calibri" w:hAnsi="Calibri" w:cs="Calibri"/>
          <w:color w:val="222222"/>
          <w:sz w:val="20"/>
          <w:szCs w:val="20"/>
          <w:highlight w:val="white"/>
        </w:rPr>
        <w:t xml:space="preserve"> hat sich das Einkaufsverhalten in Europa angesehen.</w:t>
      </w:r>
    </w:p>
    <w:p w14:paraId="0E10794A" w14:textId="77777777" w:rsidR="00D17C38" w:rsidRDefault="00000000">
      <w:pPr>
        <w:pBdr>
          <w:top w:val="nil"/>
          <w:left w:val="nil"/>
          <w:bottom w:val="nil"/>
          <w:right w:val="nil"/>
          <w:between w:val="nil"/>
        </w:pBdr>
        <w:jc w:val="both"/>
        <w:rPr>
          <w:color w:val="000000"/>
        </w:rPr>
      </w:pPr>
      <w:r>
        <w:rPr>
          <w:rFonts w:ascii="Calibri" w:eastAsia="Calibri" w:hAnsi="Calibri" w:cs="Calibri"/>
          <w:b/>
          <w:bCs/>
          <w:color w:val="222222"/>
          <w:sz w:val="20"/>
          <w:szCs w:val="20"/>
          <w:highlight w:val="white"/>
        </w:rPr>
        <w:t xml:space="preserve">Bildnachweis: </w:t>
      </w:r>
      <w:r>
        <w:rPr>
          <w:rFonts w:ascii="Calibri" w:eastAsia="Calibri" w:hAnsi="Calibri" w:cs="Calibri"/>
          <w:color w:val="222222"/>
          <w:sz w:val="20"/>
          <w:szCs w:val="20"/>
          <w:highlight w:val="white"/>
        </w:rPr>
        <w:t xml:space="preserve">© </w:t>
      </w:r>
      <w:proofErr w:type="spellStart"/>
      <w:r>
        <w:rPr>
          <w:rFonts w:ascii="Calibri" w:eastAsia="Calibri" w:hAnsi="Calibri" w:cs="Calibri"/>
          <w:color w:val="222222"/>
          <w:sz w:val="20"/>
          <w:szCs w:val="20"/>
          <w:highlight w:val="white"/>
        </w:rPr>
        <w:t>Shopfully</w:t>
      </w:r>
      <w:proofErr w:type="spellEnd"/>
      <w:r>
        <w:rPr>
          <w:rFonts w:ascii="Calibri" w:eastAsia="Calibri" w:hAnsi="Calibri" w:cs="Calibri"/>
          <w:color w:val="222222"/>
          <w:sz w:val="20"/>
          <w:szCs w:val="20"/>
          <w:highlight w:val="white"/>
        </w:rPr>
        <w:t>.</w:t>
      </w:r>
    </w:p>
    <w:p w14:paraId="2909D610" w14:textId="77777777" w:rsidR="00D17C38" w:rsidRDefault="00D17C38">
      <w:pPr>
        <w:rPr>
          <w:color w:val="000000"/>
        </w:rPr>
      </w:pPr>
    </w:p>
    <w:p w14:paraId="7965F6E8" w14:textId="77777777" w:rsidR="00D17C38" w:rsidRDefault="00000000">
      <w:pPr>
        <w:pBdr>
          <w:top w:val="nil"/>
          <w:left w:val="nil"/>
          <w:bottom w:val="nil"/>
          <w:right w:val="nil"/>
          <w:between w:val="nil"/>
        </w:pBdr>
        <w:jc w:val="both"/>
        <w:rPr>
          <w:color w:val="000000"/>
        </w:rPr>
      </w:pPr>
      <w:r>
        <w:rPr>
          <w:rFonts w:ascii="Calibri" w:eastAsia="Calibri" w:hAnsi="Calibri" w:cs="Calibri"/>
          <w:b/>
          <w:bCs/>
          <w:color w:val="222222"/>
          <w:sz w:val="20"/>
          <w:szCs w:val="20"/>
          <w:highlight w:val="white"/>
        </w:rPr>
        <w:t xml:space="preserve">Über </w:t>
      </w:r>
      <w:proofErr w:type="spellStart"/>
      <w:r>
        <w:rPr>
          <w:rFonts w:ascii="Calibri" w:eastAsia="Calibri" w:hAnsi="Calibri" w:cs="Calibri"/>
          <w:b/>
          <w:bCs/>
          <w:color w:val="222222"/>
          <w:sz w:val="20"/>
          <w:szCs w:val="20"/>
          <w:highlight w:val="white"/>
        </w:rPr>
        <w:t>Shopfully</w:t>
      </w:r>
      <w:proofErr w:type="spellEnd"/>
    </w:p>
    <w:p w14:paraId="57BE0CFA" w14:textId="77777777" w:rsidR="00D17C38" w:rsidRDefault="00000000">
      <w:pPr>
        <w:pBdr>
          <w:top w:val="nil"/>
          <w:left w:val="nil"/>
          <w:bottom w:val="nil"/>
          <w:right w:val="nil"/>
          <w:between w:val="nil"/>
        </w:pBdr>
        <w:jc w:val="both"/>
        <w:rPr>
          <w:color w:val="000000"/>
        </w:rPr>
      </w:pPr>
      <w:proofErr w:type="spellStart"/>
      <w:r>
        <w:rPr>
          <w:rFonts w:ascii="Calibri" w:eastAsia="Calibri" w:hAnsi="Calibri" w:cs="Calibri"/>
          <w:color w:val="000000"/>
          <w:sz w:val="20"/>
          <w:szCs w:val="20"/>
        </w:rPr>
        <w:t>Shopfully</w:t>
      </w:r>
      <w:proofErr w:type="spellEnd"/>
      <w:r>
        <w:rPr>
          <w:rFonts w:ascii="Calibri" w:eastAsia="Calibri" w:hAnsi="Calibri" w:cs="Calibri"/>
          <w:color w:val="000000"/>
          <w:sz w:val="20"/>
          <w:szCs w:val="20"/>
        </w:rPr>
        <w:t xml:space="preserve"> ist der europäische Marktführer im Bereich Drive-</w:t>
      </w:r>
      <w:proofErr w:type="spellStart"/>
      <w:r>
        <w:rPr>
          <w:rFonts w:ascii="Calibri" w:eastAsia="Calibri" w:hAnsi="Calibri" w:cs="Calibri"/>
          <w:color w:val="000000"/>
          <w:sz w:val="20"/>
          <w:szCs w:val="20"/>
        </w:rPr>
        <w:t>to</w:t>
      </w:r>
      <w:proofErr w:type="spellEnd"/>
      <w:r>
        <w:rPr>
          <w:rFonts w:ascii="Calibri" w:eastAsia="Calibri" w:hAnsi="Calibri" w:cs="Calibri"/>
          <w:color w:val="000000"/>
          <w:sz w:val="20"/>
          <w:szCs w:val="20"/>
        </w:rPr>
        <w:t xml:space="preserve">-Store, der Händlern und Marken dabei hilft, Online-Surfen in tatsächliche Einkäufe zu verwandeln. Das Unternehmen, das früher als </w:t>
      </w:r>
      <w:proofErr w:type="spellStart"/>
      <w:r>
        <w:rPr>
          <w:rFonts w:ascii="Calibri" w:eastAsia="Calibri" w:hAnsi="Calibri" w:cs="Calibri"/>
          <w:color w:val="000000"/>
          <w:sz w:val="20"/>
          <w:szCs w:val="20"/>
        </w:rPr>
        <w:t>Offerista</w:t>
      </w:r>
      <w:proofErr w:type="spellEnd"/>
      <w:r>
        <w:rPr>
          <w:rFonts w:ascii="Calibri" w:eastAsia="Calibri" w:hAnsi="Calibri" w:cs="Calibri"/>
          <w:color w:val="000000"/>
          <w:sz w:val="20"/>
          <w:szCs w:val="20"/>
        </w:rPr>
        <w:t xml:space="preserve"> in Deutschland, Österreich und den CEE-Ländern bekannt war, ist heute in 25 Ländern mit einem Team von mehr als 450 </w:t>
      </w:r>
      <w:proofErr w:type="spellStart"/>
      <w:proofErr w:type="gramStart"/>
      <w:r>
        <w:rPr>
          <w:rFonts w:ascii="Calibri" w:eastAsia="Calibri" w:hAnsi="Calibri" w:cs="Calibri"/>
          <w:color w:val="000000"/>
          <w:sz w:val="20"/>
          <w:szCs w:val="20"/>
        </w:rPr>
        <w:t>Mitarbeiter:innen</w:t>
      </w:r>
      <w:proofErr w:type="spellEnd"/>
      <w:proofErr w:type="gramEnd"/>
      <w:r>
        <w:rPr>
          <w:rFonts w:ascii="Calibri" w:eastAsia="Calibri" w:hAnsi="Calibri" w:cs="Calibri"/>
          <w:color w:val="000000"/>
          <w:sz w:val="20"/>
          <w:szCs w:val="20"/>
        </w:rPr>
        <w:t xml:space="preserve"> tätig. </w:t>
      </w:r>
      <w:proofErr w:type="spellStart"/>
      <w:r>
        <w:rPr>
          <w:rFonts w:ascii="Calibri" w:eastAsia="Calibri" w:hAnsi="Calibri" w:cs="Calibri"/>
          <w:color w:val="000000"/>
          <w:sz w:val="20"/>
          <w:szCs w:val="20"/>
        </w:rPr>
        <w:t>Shopfully</w:t>
      </w:r>
      <w:proofErr w:type="spellEnd"/>
      <w:r>
        <w:rPr>
          <w:rFonts w:ascii="Calibri" w:eastAsia="Calibri" w:hAnsi="Calibri" w:cs="Calibri"/>
          <w:color w:val="000000"/>
          <w:sz w:val="20"/>
          <w:szCs w:val="20"/>
        </w:rPr>
        <w:t xml:space="preserve"> arbeitet mit mehr als 500 Händlern und Marken zusammen und erreicht über sein globales Netzwerk von Publishern und digitalen Plattformen sowie seine technologischen Lösungen, einschließlich seiner eigenen KI-basierten hyperlokalen Marketingplattform, über 200 Millionen Haushalte weltweit. Mehr Informationen gibt es unter </w:t>
      </w:r>
      <w:hyperlink r:id="rId7">
        <w:r w:rsidR="00D17C38">
          <w:rPr>
            <w:rFonts w:ascii="Calibri" w:eastAsia="Calibri" w:hAnsi="Calibri" w:cs="Calibri"/>
            <w:color w:val="1155CC"/>
            <w:sz w:val="20"/>
            <w:szCs w:val="20"/>
            <w:u w:val="single"/>
          </w:rPr>
          <w:t>www.shopfully.com</w:t>
        </w:r>
      </w:hyperlink>
      <w:r>
        <w:rPr>
          <w:rFonts w:ascii="Calibri" w:eastAsia="Calibri" w:hAnsi="Calibri" w:cs="Calibri"/>
          <w:color w:val="000000"/>
          <w:sz w:val="20"/>
          <w:szCs w:val="20"/>
        </w:rPr>
        <w:t>.</w:t>
      </w:r>
    </w:p>
    <w:p w14:paraId="3104C5D6" w14:textId="77777777" w:rsidR="00D17C38" w:rsidRDefault="00D17C38">
      <w:pPr>
        <w:rPr>
          <w:color w:val="000000"/>
        </w:rPr>
      </w:pPr>
    </w:p>
    <w:p w14:paraId="1F26759D" w14:textId="77777777" w:rsidR="00D17C38" w:rsidRDefault="00000000">
      <w:pPr>
        <w:pBdr>
          <w:top w:val="nil"/>
          <w:left w:val="nil"/>
          <w:bottom w:val="nil"/>
          <w:right w:val="nil"/>
          <w:between w:val="nil"/>
        </w:pBdr>
        <w:jc w:val="both"/>
        <w:rPr>
          <w:color w:val="000000"/>
        </w:rPr>
      </w:pPr>
      <w:r>
        <w:rPr>
          <w:rFonts w:ascii="Calibri" w:eastAsia="Calibri" w:hAnsi="Calibri" w:cs="Calibri"/>
          <w:b/>
          <w:bCs/>
          <w:color w:val="222222"/>
          <w:sz w:val="20"/>
          <w:szCs w:val="20"/>
          <w:highlight w:val="white"/>
        </w:rPr>
        <w:t>Pressekontakt </w:t>
      </w:r>
    </w:p>
    <w:p w14:paraId="217ADDD5" w14:textId="77777777" w:rsidR="00D17C38" w:rsidRDefault="00000000">
      <w:pPr>
        <w:pBdr>
          <w:top w:val="nil"/>
          <w:left w:val="nil"/>
          <w:bottom w:val="nil"/>
          <w:right w:val="nil"/>
          <w:between w:val="nil"/>
        </w:pBdr>
        <w:jc w:val="both"/>
        <w:rPr>
          <w:color w:val="000000"/>
        </w:rPr>
      </w:pPr>
      <w:r>
        <w:rPr>
          <w:rFonts w:ascii="Calibri" w:eastAsia="Calibri" w:hAnsi="Calibri" w:cs="Calibri"/>
          <w:color w:val="000000"/>
          <w:sz w:val="20"/>
          <w:szCs w:val="20"/>
        </w:rPr>
        <w:t>Dr. Alexandra Vasak, Reiter PR</w:t>
      </w:r>
    </w:p>
    <w:p w14:paraId="019CE709" w14:textId="77777777" w:rsidR="00D17C38" w:rsidRDefault="00000000">
      <w:pPr>
        <w:pBdr>
          <w:top w:val="nil"/>
          <w:left w:val="nil"/>
          <w:bottom w:val="nil"/>
          <w:right w:val="nil"/>
          <w:between w:val="nil"/>
        </w:pBdr>
        <w:jc w:val="both"/>
        <w:rPr>
          <w:color w:val="000000"/>
        </w:rPr>
      </w:pPr>
      <w:r>
        <w:rPr>
          <w:rFonts w:ascii="Calibri" w:eastAsia="Calibri" w:hAnsi="Calibri" w:cs="Calibri"/>
          <w:color w:val="000000"/>
          <w:sz w:val="20"/>
          <w:szCs w:val="20"/>
        </w:rPr>
        <w:t>Praterstraße 1, 1020 Wien </w:t>
      </w:r>
    </w:p>
    <w:p w14:paraId="7B57EFA6" w14:textId="77777777" w:rsidR="00D17C38" w:rsidRDefault="00000000">
      <w:pPr>
        <w:pBdr>
          <w:top w:val="nil"/>
          <w:left w:val="nil"/>
          <w:bottom w:val="nil"/>
          <w:right w:val="nil"/>
          <w:between w:val="nil"/>
        </w:pBdr>
        <w:jc w:val="both"/>
        <w:rPr>
          <w:color w:val="000000"/>
        </w:rPr>
      </w:pPr>
      <w:r>
        <w:rPr>
          <w:rFonts w:ascii="Calibri" w:eastAsia="Calibri" w:hAnsi="Calibri" w:cs="Calibri"/>
          <w:color w:val="000000"/>
          <w:sz w:val="20"/>
          <w:szCs w:val="20"/>
        </w:rPr>
        <w:t>T: +43 699 120 895 59</w:t>
      </w:r>
    </w:p>
    <w:p w14:paraId="7791BA06" w14:textId="77777777" w:rsidR="00D17C38" w:rsidRDefault="00D17C38">
      <w:pPr>
        <w:pBdr>
          <w:top w:val="nil"/>
          <w:left w:val="nil"/>
          <w:bottom w:val="nil"/>
          <w:right w:val="nil"/>
          <w:between w:val="nil"/>
        </w:pBdr>
        <w:jc w:val="both"/>
        <w:rPr>
          <w:color w:val="000000"/>
        </w:rPr>
      </w:pPr>
      <w:hyperlink r:id="rId8">
        <w:r>
          <w:rPr>
            <w:rFonts w:ascii="Calibri" w:eastAsia="Calibri" w:hAnsi="Calibri" w:cs="Calibri"/>
            <w:color w:val="1155CC"/>
            <w:sz w:val="20"/>
            <w:szCs w:val="20"/>
            <w:u w:val="single"/>
          </w:rPr>
          <w:t>alexandra.vasak@reiterpr.com</w:t>
        </w:r>
      </w:hyperlink>
    </w:p>
    <w:p w14:paraId="2C9A7430" w14:textId="77777777" w:rsidR="00D17C38" w:rsidRDefault="00D17C38">
      <w:pPr>
        <w:jc w:val="both"/>
        <w:rPr>
          <w:rFonts w:ascii="Calibri" w:eastAsia="Calibri" w:hAnsi="Calibri" w:cs="Calibri"/>
          <w:sz w:val="20"/>
          <w:szCs w:val="20"/>
        </w:rPr>
      </w:pPr>
    </w:p>
    <w:sectPr w:rsidR="00D17C38">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B1EF9" w14:textId="77777777" w:rsidR="00A95B84" w:rsidRDefault="00A95B84">
      <w:r>
        <w:separator/>
      </w:r>
    </w:p>
  </w:endnote>
  <w:endnote w:type="continuationSeparator" w:id="0">
    <w:p w14:paraId="16F79DA7" w14:textId="77777777" w:rsidR="00A95B84" w:rsidRDefault="00A95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E7AAB80-2FAB-614F-A05A-C777C8E61FCD}"/>
    <w:embedItalic r:id="rId2" w:fontKey="{79E11BDB-0235-B54A-8984-E13521EC6EAD}"/>
  </w:font>
  <w:font w:name="Arial">
    <w:panose1 w:val="020B0604020202020204"/>
    <w:charset w:val="00"/>
    <w:family w:val="swiss"/>
    <w:pitch w:val="variable"/>
    <w:sig w:usb0="E0002AFF" w:usb1="C0007843" w:usb2="00000009" w:usb3="00000000" w:csb0="000001FF" w:csb1="00000000"/>
    <w:embedRegular r:id="rId3" w:fontKey="{01370114-3790-8046-A3DD-91A776E4BBCC}"/>
  </w:font>
  <w:font w:name="Calibri">
    <w:panose1 w:val="020F0502020204030204"/>
    <w:charset w:val="00"/>
    <w:family w:val="swiss"/>
    <w:pitch w:val="variable"/>
    <w:sig w:usb0="E0002AFF" w:usb1="C000247B" w:usb2="00000009" w:usb3="00000000" w:csb0="000001FF" w:csb1="00000000"/>
    <w:embedRegular r:id="rId4" w:fontKey="{0CAAB99A-2041-1F4D-9ADD-F1AD80FBC6B2}"/>
    <w:embedBold r:id="rId5" w:fontKey="{30D27663-2E74-7346-9A47-B26AD85C7F35}"/>
  </w:font>
  <w:font w:name="Montserrat Medium">
    <w:panose1 w:val="000006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embedRegular r:id="rId6" w:fontKey="{1022FF32-1141-E246-A8C7-DEC2D89B8B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19818" w14:textId="77777777" w:rsidR="00A95B84" w:rsidRDefault="00A95B84">
      <w:r>
        <w:separator/>
      </w:r>
    </w:p>
  </w:footnote>
  <w:footnote w:type="continuationSeparator" w:id="0">
    <w:p w14:paraId="4D1C5AA7" w14:textId="77777777" w:rsidR="00A95B84" w:rsidRDefault="00A95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291B8" w14:textId="77777777" w:rsidR="00D17C38" w:rsidRDefault="00000000">
    <w:pPr>
      <w:ind w:right="-749"/>
      <w:rPr>
        <w:rFonts w:ascii="Montserrat Medium" w:eastAsia="Montserrat Medium" w:hAnsi="Montserrat Medium" w:cs="Montserrat Medium"/>
      </w:rPr>
    </w:pPr>
    <w:r>
      <w:rPr>
        <w:rFonts w:ascii="Montserrat Medium" w:eastAsia="Montserrat Medium" w:hAnsi="Montserrat Medium" w:cs="Montserrat Medium"/>
      </w:rPr>
      <w:t>PRESSEMELDUNG</w:t>
    </w:r>
    <w:r>
      <w:tab/>
    </w:r>
    <w:r>
      <w:tab/>
    </w:r>
    <w:r>
      <w:tab/>
    </w:r>
    <w:r>
      <w:tab/>
      <w:t xml:space="preserve">         </w:t>
    </w:r>
    <w:r>
      <w:rPr>
        <w:noProof/>
      </w:rPr>
      <w:drawing>
        <wp:inline distT="0" distB="0" distL="0" distR="0" wp14:anchorId="10917856" wp14:editId="37C2256D">
          <wp:extent cx="2133525" cy="614609"/>
          <wp:effectExtent l="0" t="0" r="0" b="0"/>
          <wp:docPr id="1" name="image1.png" descr="Ein Bild, das Schrift, Grafiken, Logo, Grafik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1.png" descr="Ein Bild, das Schrift, Grafiken, Logo, Grafikdesign enthält.&#10;&#10;KI-generierte Inhalte können fehlerhaft sein."/>
                  <pic:cNvPicPr preferRelativeResize="0"/>
                </pic:nvPicPr>
                <pic:blipFill>
                  <a:blip r:embed="rId1"/>
                  <a:srcRect/>
                  <a:stretch>
                    <a:fillRect/>
                  </a:stretch>
                </pic:blipFill>
                <pic:spPr>
                  <a:xfrm>
                    <a:off x="0" y="0"/>
                    <a:ext cx="2133525" cy="614609"/>
                  </a:xfrm>
                  <a:prstGeom prst="rect">
                    <a:avLst/>
                  </a:prstGeom>
                  <a:ln/>
                </pic:spPr>
              </pic:pic>
            </a:graphicData>
          </a:graphic>
        </wp:inline>
      </w:drawing>
    </w:r>
    <w:r>
      <w:t xml:space="preserve">                            </w:t>
    </w:r>
  </w:p>
  <w:p w14:paraId="789D1569" w14:textId="77777777" w:rsidR="00D17C38" w:rsidRDefault="00D17C38">
    <w:pPr>
      <w:pBdr>
        <w:top w:val="nil"/>
        <w:left w:val="nil"/>
        <w:bottom w:val="nil"/>
        <w:right w:val="nil"/>
        <w:between w:val="nil"/>
      </w:pBdr>
      <w:tabs>
        <w:tab w:val="center" w:pos="4536"/>
        <w:tab w:val="right" w:pos="9072"/>
      </w:tabs>
      <w:rPr>
        <w:rFonts w:ascii="Arial" w:eastAsia="Arial" w:hAnsi="Arial" w:cs="Arial"/>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C38"/>
    <w:rsid w:val="00021F0B"/>
    <w:rsid w:val="00036B91"/>
    <w:rsid w:val="003A665C"/>
    <w:rsid w:val="005B63E1"/>
    <w:rsid w:val="007144B0"/>
    <w:rsid w:val="007A7A71"/>
    <w:rsid w:val="00836AC5"/>
    <w:rsid w:val="00A95B84"/>
    <w:rsid w:val="00D17C38"/>
    <w:rsid w:val="00E37392"/>
    <w:rsid w:val="00E972AE"/>
    <w:rsid w:val="00EC0065"/>
    <w:rsid w:val="00F44D64"/>
    <w:rsid w:val="00F72CE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02F5C8E8"/>
  <w15:docId w15:val="{45D15ADB-5DF4-C945-B9CE-D5B2D83ED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line="276" w:lineRule="auto"/>
      <w:outlineLvl w:val="0"/>
    </w:pPr>
    <w:rPr>
      <w:rFonts w:ascii="Arial" w:eastAsia="Arial" w:hAnsi="Arial" w:cs="Arial"/>
      <w:sz w:val="40"/>
      <w:szCs w:val="40"/>
    </w:rPr>
  </w:style>
  <w:style w:type="paragraph" w:styleId="berschrift2">
    <w:name w:val="heading 2"/>
    <w:basedOn w:val="Standard"/>
    <w:next w:val="Standard"/>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line="276" w:lineRule="auto"/>
    </w:pPr>
    <w:rPr>
      <w:rFonts w:ascii="Arial" w:eastAsia="Arial" w:hAnsi="Arial" w:cs="Arial"/>
      <w:sz w:val="52"/>
      <w:szCs w:val="52"/>
    </w:rPr>
  </w:style>
  <w:style w:type="paragraph" w:styleId="Untertitel">
    <w:name w:val="Subtitle"/>
    <w:basedOn w:val="Standard"/>
    <w:next w:val="Standard"/>
    <w:uiPriority w:val="11"/>
    <w:qFormat/>
    <w:pPr>
      <w:keepNext/>
      <w:keepLines/>
      <w:spacing w:after="320" w:line="276" w:lineRule="auto"/>
    </w:pPr>
    <w:rPr>
      <w:rFonts w:ascii="Arial" w:eastAsia="Arial" w:hAnsi="Arial" w:cs="Arial"/>
      <w:color w:val="666666"/>
      <w:sz w:val="30"/>
      <w:szCs w:val="30"/>
    </w:rPr>
  </w:style>
  <w:style w:type="paragraph" w:styleId="StandardWeb">
    <w:name w:val="Normal (Web)"/>
    <w:basedOn w:val="Standard"/>
    <w:uiPriority w:val="99"/>
    <w:unhideWhenUsed/>
    <w:rsid w:val="003A665C"/>
    <w:pPr>
      <w:spacing w:before="100" w:beforeAutospacing="1" w:after="100" w:afterAutospacing="1"/>
    </w:pPr>
  </w:style>
  <w:style w:type="paragraph" w:styleId="Funotentext">
    <w:name w:val="footnote text"/>
    <w:basedOn w:val="Standard"/>
    <w:link w:val="FunotentextZchn"/>
    <w:uiPriority w:val="99"/>
    <w:semiHidden/>
    <w:unhideWhenUsed/>
    <w:rsid w:val="005B63E1"/>
    <w:rPr>
      <w:sz w:val="20"/>
      <w:szCs w:val="20"/>
    </w:rPr>
  </w:style>
  <w:style w:type="character" w:customStyle="1" w:styleId="FunotentextZchn">
    <w:name w:val="Fußnotentext Zchn"/>
    <w:basedOn w:val="Absatz-Standardschriftart"/>
    <w:link w:val="Funotentext"/>
    <w:uiPriority w:val="99"/>
    <w:semiHidden/>
    <w:rsid w:val="005B63E1"/>
    <w:rPr>
      <w:sz w:val="20"/>
      <w:szCs w:val="20"/>
    </w:rPr>
  </w:style>
  <w:style w:type="character" w:styleId="Funotenzeichen">
    <w:name w:val="footnote reference"/>
    <w:basedOn w:val="Absatz-Standardschriftart"/>
    <w:uiPriority w:val="99"/>
    <w:semiHidden/>
    <w:unhideWhenUsed/>
    <w:rsid w:val="005B63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lexandra.vasak@reiterpr.com" TargetMode="External"/><Relationship Id="rId3" Type="http://schemas.openxmlformats.org/officeDocument/2006/relationships/settings" Target="settings.xml"/><Relationship Id="rId7" Type="http://schemas.openxmlformats.org/officeDocument/2006/relationships/hyperlink" Target="http://www.shopfully.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nt81HuCCqdo9j+RSeG0KZsgKOQ==">CgMxLjA4AGosChRzdWdnZXN0LjV6cHBzcmtoZ3lyZRIURnJhbnppc2thIFNjaGFmZnJvdGhqLAoUc3VnZ2VzdC40bTlkb21kYzc2dDMSFEZyYW56aXNrYSBTY2hhZmZyb3RoaiwKFHN1Z2dlc3QueWJwemM4M3kxaXU2EhRGcmFuemlza2EgU2NoYWZmcm90aGosChRzdWdnZXN0Lm95c25mb2ZnN2g0ehIURnJhbnppc2thIFNjaGFmZnJvdGhqLAoUc3VnZ2VzdC4yc3k4YnR3dDZ1a3ASFEZyYW56aXNrYSBTY2hhZmZyb3RoaiwKFHN1Z2dlc3QuaHVhbG1jd2xjMmlqEhRGcmFuemlza2EgU2NoYWZmcm90aGosChRzdWdnZXN0LmVraTQ2dGNnZmgxYhIURnJhbnppc2thIFNjaGFmZnJvdGhyITE5V2VHYnpacDRqaWpYbVpwaVFXNHZhZzdCdlNVQlp4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1002</Words>
  <Characters>6315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Vasak</cp:lastModifiedBy>
  <cp:revision>6</cp:revision>
  <dcterms:created xsi:type="dcterms:W3CDTF">2026-05-22T10:02:00Z</dcterms:created>
  <dcterms:modified xsi:type="dcterms:W3CDTF">2026-05-27T07:03:00Z</dcterms:modified>
</cp:coreProperties>
</file>