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81A9A5" w14:textId="77777777" w:rsidR="00BB5544" w:rsidRPr="009B70AB" w:rsidRDefault="00BB5544">
      <w:pPr>
        <w:pStyle w:val="SubheadK"/>
        <w:rPr>
          <w:color w:val="000000"/>
          <w:sz w:val="20"/>
          <w:szCs w:val="20"/>
          <w:u w:color="000000"/>
        </w:rPr>
      </w:pPr>
      <w:bookmarkStart w:id="0" w:name="HEADLINE"/>
      <w:bookmarkEnd w:id="0"/>
    </w:p>
    <w:p w14:paraId="7955EBAA" w14:textId="77777777" w:rsidR="00BB5544" w:rsidRPr="009B70AB" w:rsidRDefault="00BB5544">
      <w:pPr>
        <w:pStyle w:val="TitleK"/>
      </w:pPr>
    </w:p>
    <w:p w14:paraId="703ED8F5" w14:textId="77777777" w:rsidR="00BB5544" w:rsidRPr="009B70AB" w:rsidRDefault="00617C9B">
      <w:pPr>
        <w:pStyle w:val="TitleK"/>
        <w:rPr>
          <w:sz w:val="56"/>
          <w:szCs w:val="56"/>
        </w:rPr>
      </w:pPr>
      <w:r w:rsidRPr="009B70AB">
        <w:rPr>
          <w:sz w:val="56"/>
          <w:szCs w:val="56"/>
        </w:rPr>
        <w:t>Presse-Information</w:t>
      </w:r>
    </w:p>
    <w:p w14:paraId="76C7FD5F" w14:textId="77777777" w:rsidR="009B70AB" w:rsidRPr="009B70AB" w:rsidRDefault="009B70AB" w:rsidP="009B70AB">
      <w:pPr>
        <w:rPr>
          <w:b/>
          <w:bCs/>
          <w:color w:val="C0167B"/>
          <w:sz w:val="48"/>
          <w:szCs w:val="48"/>
          <w:u w:color="C0167B"/>
          <w:lang w:val="de-DE"/>
        </w:rPr>
      </w:pPr>
    </w:p>
    <w:p w14:paraId="1440CF1A" w14:textId="735F2F0A" w:rsidR="00A71E6B" w:rsidRDefault="00A71E6B" w:rsidP="00A71E6B">
      <w:pPr>
        <w:ind w:left="993"/>
        <w:rPr>
          <w:b/>
          <w:bCs/>
          <w:color w:val="C0167B"/>
          <w:sz w:val="48"/>
          <w:szCs w:val="48"/>
          <w:u w:color="C0167B"/>
          <w:lang w:val="de-DE"/>
        </w:rPr>
      </w:pPr>
      <w:proofErr w:type="spellStart"/>
      <w:r w:rsidRPr="00A71E6B">
        <w:rPr>
          <w:b/>
          <w:bCs/>
          <w:color w:val="C0167B"/>
          <w:sz w:val="48"/>
          <w:szCs w:val="48"/>
          <w:u w:color="C0167B"/>
          <w:lang w:val="de-DE"/>
        </w:rPr>
        <w:t>Quocirca</w:t>
      </w:r>
      <w:proofErr w:type="spellEnd"/>
      <w:r w:rsidRPr="00A71E6B">
        <w:rPr>
          <w:b/>
          <w:bCs/>
          <w:color w:val="C0167B"/>
          <w:sz w:val="48"/>
          <w:szCs w:val="48"/>
          <w:u w:color="C0167B"/>
          <w:lang w:val="de-DE"/>
        </w:rPr>
        <w:t xml:space="preserve"> Report zur Drucksicherheit stuft Konica Minolta erneut als Leader ein</w:t>
      </w:r>
    </w:p>
    <w:p w14:paraId="5B4E9C7D" w14:textId="77777777" w:rsidR="006313B1" w:rsidRDefault="006313B1" w:rsidP="00A71E6B">
      <w:pPr>
        <w:ind w:left="993"/>
        <w:rPr>
          <w:b/>
          <w:bCs/>
          <w:color w:val="C0167B"/>
          <w:sz w:val="48"/>
          <w:szCs w:val="48"/>
          <w:u w:color="C0167B"/>
          <w:lang w:val="de-DE"/>
        </w:rPr>
      </w:pPr>
    </w:p>
    <w:p w14:paraId="4BF9462D" w14:textId="4C4E4FFB" w:rsidR="00E72677" w:rsidRPr="00843781" w:rsidRDefault="00E72677" w:rsidP="00F939B5">
      <w:pPr>
        <w:ind w:left="993"/>
        <w:rPr>
          <w:b/>
          <w:bCs/>
          <w:color w:val="0062C2"/>
          <w:kern w:val="28"/>
          <w:sz w:val="28"/>
          <w:szCs w:val="28"/>
          <w:u w:color="0062C2"/>
          <w:lang w:val="de-DE"/>
        </w:rPr>
      </w:pPr>
      <w:r w:rsidRPr="00843781">
        <w:rPr>
          <w:b/>
          <w:bCs/>
          <w:color w:val="0062C2"/>
          <w:kern w:val="28"/>
          <w:sz w:val="28"/>
          <w:szCs w:val="28"/>
          <w:u w:color="0062C2"/>
          <w:lang w:val="de-DE"/>
        </w:rPr>
        <w:t>Studie verdeutlicht Diskrepanz zwischen der Bedeutung von Druckprozessen im Unternehmen und der Wahrnehmung der Druckinfrastruktur als potenzielles Einfallstor für Cyberangriffe.</w:t>
      </w:r>
    </w:p>
    <w:p w14:paraId="284123A1" w14:textId="77777777" w:rsidR="00BB5544" w:rsidRPr="009B70AB" w:rsidRDefault="00BB5544" w:rsidP="004A53CB">
      <w:pPr>
        <w:pStyle w:val="SubsubheadK"/>
        <w:ind w:left="0"/>
      </w:pPr>
    </w:p>
    <w:p w14:paraId="166A8D2F" w14:textId="2C62EB4D" w:rsidR="00156FAD" w:rsidRPr="008C1624" w:rsidRDefault="0037677E" w:rsidP="001A4E4B">
      <w:pPr>
        <w:pStyle w:val="SubsubheadK"/>
        <w:rPr>
          <w:color w:val="auto"/>
          <w:sz w:val="24"/>
          <w:szCs w:val="24"/>
        </w:rPr>
      </w:pPr>
      <w:r w:rsidRPr="008C1624">
        <w:rPr>
          <w:color w:val="auto"/>
          <w:sz w:val="24"/>
          <w:szCs w:val="24"/>
        </w:rPr>
        <w:t>Langenhagen</w:t>
      </w:r>
      <w:r w:rsidR="004A53CB" w:rsidRPr="008C1624">
        <w:rPr>
          <w:color w:val="auto"/>
          <w:sz w:val="24"/>
          <w:szCs w:val="24"/>
        </w:rPr>
        <w:t xml:space="preserve">, </w:t>
      </w:r>
      <w:r w:rsidR="00452256" w:rsidRPr="008C1624">
        <w:rPr>
          <w:color w:val="auto"/>
          <w:sz w:val="24"/>
          <w:szCs w:val="24"/>
        </w:rPr>
        <w:t>8</w:t>
      </w:r>
      <w:r w:rsidR="004A53CB" w:rsidRPr="008C1624">
        <w:rPr>
          <w:color w:val="auto"/>
          <w:sz w:val="24"/>
          <w:szCs w:val="24"/>
        </w:rPr>
        <w:t xml:space="preserve">. </w:t>
      </w:r>
      <w:r w:rsidR="003E4402" w:rsidRPr="008C1624">
        <w:rPr>
          <w:color w:val="auto"/>
          <w:sz w:val="24"/>
          <w:szCs w:val="24"/>
        </w:rPr>
        <w:t xml:space="preserve">Oktober </w:t>
      </w:r>
      <w:r w:rsidR="004A53CB" w:rsidRPr="008C1624">
        <w:rPr>
          <w:color w:val="auto"/>
          <w:sz w:val="24"/>
          <w:szCs w:val="24"/>
        </w:rPr>
        <w:t>2026 –</w:t>
      </w:r>
      <w:r w:rsidR="000D2F87" w:rsidRPr="008C1624">
        <w:rPr>
          <w:color w:val="auto"/>
          <w:sz w:val="24"/>
          <w:szCs w:val="24"/>
        </w:rPr>
        <w:t xml:space="preserve"> </w:t>
      </w:r>
      <w:proofErr w:type="spellStart"/>
      <w:r w:rsidR="00156FAD" w:rsidRPr="008C1624">
        <w:rPr>
          <w:color w:val="auto"/>
          <w:sz w:val="24"/>
          <w:szCs w:val="24"/>
        </w:rPr>
        <w:t>Quocirca</w:t>
      </w:r>
      <w:proofErr w:type="spellEnd"/>
      <w:r w:rsidR="00156FAD" w:rsidRPr="008C1624">
        <w:rPr>
          <w:color w:val="auto"/>
          <w:sz w:val="24"/>
          <w:szCs w:val="24"/>
        </w:rPr>
        <w:t xml:space="preserve"> stuft Konica Minolta im Report „Print Security Landscape 2026“ zum fünften Mal in Folge als Leader ein. Ausschlaggebend für diese Bewertung waren laut dem Marktanalysten drei zentrale Faktoren: die unabhängige Validierung der Gerätesicherheit, der konsequente Ausbau einer cloudbasierten Sicherheitsverwaltung sowie die enge Ausrichtung auf die Cloud-Print-Architektur von Microsoft, die sich laufend weiterentwickelt.</w:t>
      </w:r>
      <w:r w:rsidR="001A4E4B" w:rsidRPr="008C1624">
        <w:rPr>
          <w:color w:val="auto"/>
          <w:sz w:val="24"/>
          <w:szCs w:val="24"/>
        </w:rPr>
        <w:t xml:space="preserve"> </w:t>
      </w:r>
      <w:r w:rsidR="00156FAD" w:rsidRPr="008C1624">
        <w:rPr>
          <w:color w:val="auto"/>
          <w:sz w:val="24"/>
          <w:szCs w:val="24"/>
        </w:rPr>
        <w:t xml:space="preserve">Für den Bericht befragte </w:t>
      </w:r>
      <w:proofErr w:type="spellStart"/>
      <w:r w:rsidR="00156FAD" w:rsidRPr="008C1624">
        <w:rPr>
          <w:color w:val="auto"/>
          <w:sz w:val="24"/>
          <w:szCs w:val="24"/>
        </w:rPr>
        <w:t>Quocirca</w:t>
      </w:r>
      <w:proofErr w:type="spellEnd"/>
      <w:r w:rsidR="00156FAD" w:rsidRPr="008C1624">
        <w:rPr>
          <w:color w:val="auto"/>
          <w:sz w:val="24"/>
          <w:szCs w:val="24"/>
        </w:rPr>
        <w:t xml:space="preserve"> in diesem Jahr 400 IT-Entscheiderinnen und IT-Entscheider aus Deutschland, Frankreich, Großbritannien und den USA. Die Unternehmen stammten aus unterschiedlichen Branchen und Größenklassen.</w:t>
      </w:r>
    </w:p>
    <w:p w14:paraId="7257127B" w14:textId="10B6F84D" w:rsidR="009B70AB" w:rsidRPr="009B70AB" w:rsidRDefault="009B70AB" w:rsidP="009B70AB">
      <w:pPr>
        <w:pStyle w:val="SubsubheadK"/>
        <w:rPr>
          <w:color w:val="auto"/>
          <w:sz w:val="22"/>
          <w:szCs w:val="22"/>
        </w:rPr>
      </w:pPr>
    </w:p>
    <w:p w14:paraId="21406A93" w14:textId="77777777" w:rsidR="00FB0956" w:rsidRPr="008C1624" w:rsidRDefault="00FB0956" w:rsidP="00FB0956">
      <w:pPr>
        <w:pStyle w:val="SubsubheadK"/>
        <w:rPr>
          <w:rFonts w:eastAsia="Times New Roman" w:cs="Times New Roman"/>
          <w:color w:val="auto"/>
          <w:sz w:val="24"/>
          <w:szCs w:val="24"/>
          <w:bdr w:val="none" w:sz="0" w:space="0" w:color="auto"/>
          <w:lang w:eastAsia="en-US"/>
          <w14:textOutline w14:w="0" w14:cap="rnd" w14:cmpd="sng" w14:algn="ctr">
            <w14:noFill/>
            <w14:prstDash w14:val="solid"/>
            <w14:bevel/>
          </w14:textOutline>
        </w:rPr>
      </w:pPr>
      <w:r w:rsidRPr="008C1624">
        <w:rPr>
          <w:rFonts w:eastAsia="Times New Roman" w:cs="Times New Roman"/>
          <w:color w:val="auto"/>
          <w:sz w:val="24"/>
          <w:szCs w:val="24"/>
          <w:bdr w:val="none" w:sz="0" w:space="0" w:color="auto"/>
          <w:lang w:eastAsia="en-US"/>
          <w14:textOutline w14:w="0" w14:cap="rnd" w14:cmpd="sng" w14:algn="ctr">
            <w14:noFill/>
            <w14:prstDash w14:val="solid"/>
            <w14:bevel/>
          </w14:textOutline>
        </w:rPr>
        <w:t>Druckinfrastrukturen werden als Sicherheitsrisiko weiterhin unterschätzt</w:t>
      </w:r>
    </w:p>
    <w:p w14:paraId="773425F9" w14:textId="77777777" w:rsidR="009B70AB" w:rsidRPr="008C1624" w:rsidRDefault="009B70AB" w:rsidP="009B70AB">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p>
    <w:p w14:paraId="2F12871F" w14:textId="7CC7F099" w:rsidR="00AD6CA9" w:rsidRPr="008C1624" w:rsidRDefault="00AD6CA9" w:rsidP="00AD6CA9">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 xml:space="preserve">Die Ergebnisse der Befragung zeigen eine deutliche Diskrepanz zwischen der Bedeutung von Print und seiner Wahrnehmung als Sicherheitsrisiko. Rund 80 Prozent der Unternehmen sind weiterhin in hohem Maße auf Druckprozesse angewiesen. Dennoch betrachten lediglich 31 Prozent ihre </w:t>
      </w:r>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lastRenderedPageBreak/>
        <w:t>Druckinfrastruktur als wesentliches Sicherheitsrisiko. Damit rangiert das Thema deutlich hinter</w:t>
      </w:r>
      <w:r w:rsidRPr="008C1624">
        <w:rPr>
          <w:rFonts w:eastAsia="Times New Roman" w:cs="Times New Roman"/>
          <w:color w:val="auto"/>
          <w:sz w:val="24"/>
          <w:szCs w:val="24"/>
          <w:bdr w:val="none" w:sz="0" w:space="0" w:color="auto"/>
          <w:lang w:eastAsia="en-US"/>
          <w14:textOutline w14:w="0" w14:cap="rnd" w14:cmpd="sng" w14:algn="ctr">
            <w14:noFill/>
            <w14:prstDash w14:val="solid"/>
            <w14:bevel/>
          </w14:textOutline>
        </w:rPr>
        <w:t xml:space="preserve"> </w:t>
      </w:r>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allgemeinen IT-Sicherheitsherausforderungen wie Cloud-Umgebungen, Künstlicher Intelligenz oder E-Mail-Sicherheit.</w:t>
      </w:r>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br/>
      </w:r>
    </w:p>
    <w:p w14:paraId="74D66F59" w14:textId="77777777" w:rsidR="00AD6CA9" w:rsidRPr="008C1624" w:rsidRDefault="00AD6CA9" w:rsidP="00AD6CA9">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Diese Einschätzung der Unternehmen birgt Risiken: Der Anteil der Firmen, die von druckbezogenen Datenschutzverletzungen betroffen waren, ist innerhalb eines Jahres (Mitte 2025 bis Mitte 2026) von 56 auf 67 Prozent gestiegen. Besonders kritisch bewertet der Report, dass 43 Prozent der Befragten bereits mehrere Sicherheitsvorfälle verzeichnet haben. Kleine und mittlere Unternehmen sind davon überdurchschnittlich stark betroffen. Sieben von zehn Unternehmen (71 Prozent) meldeten im vergangenen Jahr mindestens eine druckbezogene Datenschutzverletzung.</w:t>
      </w:r>
    </w:p>
    <w:p w14:paraId="67CE39ED" w14:textId="77777777" w:rsidR="00367186" w:rsidRPr="008C1624" w:rsidRDefault="00367186" w:rsidP="00AD6CA9">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p>
    <w:p w14:paraId="5BF4FEB5" w14:textId="536F1883" w:rsidR="00A953D2" w:rsidRPr="008C1624" w:rsidRDefault="00A953D2" w:rsidP="00A953D2">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Gleichzeitig verdeutlicht die Studie einen Zusammenhang zwischen Sicherheitsinvestitionen und der Häufigkeit von Datenverlusten. Unternehmen mit umfassenden Sicherheitsmaßnahmen berichten signifikant seltener von druckbezogenen Datenverlusten als Organisationen mit niedrigerem Sicherheitsniveau (56 Prozent gegenüber 73 Prozent).</w:t>
      </w:r>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br/>
      </w:r>
    </w:p>
    <w:p w14:paraId="60DC5BD7" w14:textId="77777777" w:rsidR="00A953D2" w:rsidRPr="008C1624" w:rsidRDefault="00A953D2" w:rsidP="00A953D2">
      <w:pPr>
        <w:pStyle w:val="SubsubheadK"/>
        <w:rPr>
          <w:rFonts w:eastAsia="Times New Roman" w:cs="Times New Roman"/>
          <w:color w:val="auto"/>
          <w:sz w:val="24"/>
          <w:szCs w:val="24"/>
          <w:bdr w:val="none" w:sz="0" w:space="0" w:color="auto"/>
          <w:lang w:eastAsia="en-US"/>
          <w14:textOutline w14:w="0" w14:cap="rnd" w14:cmpd="sng" w14:algn="ctr">
            <w14:noFill/>
            <w14:prstDash w14:val="solid"/>
            <w14:bevel/>
          </w14:textOutline>
        </w:rPr>
      </w:pPr>
      <w:r w:rsidRPr="008C1624">
        <w:rPr>
          <w:rFonts w:eastAsia="Times New Roman" w:cs="Times New Roman"/>
          <w:color w:val="auto"/>
          <w:sz w:val="24"/>
          <w:szCs w:val="24"/>
          <w:bdr w:val="none" w:sz="0" w:space="0" w:color="auto"/>
          <w:lang w:eastAsia="en-US"/>
          <w14:textOutline w14:w="0" w14:cap="rnd" w14:cmpd="sng" w14:algn="ctr">
            <w14:noFill/>
            <w14:prstDash w14:val="solid"/>
            <w14:bevel/>
          </w14:textOutline>
        </w:rPr>
        <w:t>Sorge vor KI-gestützten Cyberangriffen nimmt zu</w:t>
      </w:r>
    </w:p>
    <w:p w14:paraId="49C091A1" w14:textId="77777777" w:rsidR="00E57D42" w:rsidRPr="008C1624" w:rsidRDefault="00E57D42" w:rsidP="00A953D2">
      <w:pPr>
        <w:pStyle w:val="SubsubheadK"/>
        <w:rPr>
          <w:rFonts w:eastAsia="Times New Roman" w:cs="Times New Roman"/>
          <w:color w:val="auto"/>
          <w:sz w:val="24"/>
          <w:szCs w:val="24"/>
          <w:bdr w:val="none" w:sz="0" w:space="0" w:color="auto"/>
          <w:lang w:eastAsia="en-US"/>
          <w14:textOutline w14:w="0" w14:cap="rnd" w14:cmpd="sng" w14:algn="ctr">
            <w14:noFill/>
            <w14:prstDash w14:val="solid"/>
            <w14:bevel/>
          </w14:textOutline>
        </w:rPr>
      </w:pPr>
    </w:p>
    <w:p w14:paraId="00BC2B24" w14:textId="680C3586" w:rsidR="00A953D2" w:rsidRPr="008C1624" w:rsidRDefault="00A953D2" w:rsidP="00A953D2">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 xml:space="preserve">Künstliche Intelligenz entwickelt sich zunehmend zu einem relevanten Risikofaktor für die Sicherheit von Druck- und Dokumentenumgebungen. Laut </w:t>
      </w:r>
      <w:proofErr w:type="spellStart"/>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Quocirca</w:t>
      </w:r>
      <w:proofErr w:type="spellEnd"/>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 xml:space="preserve"> zählen KI-gestützte Cyberangriffe mit 31 Prozent inzwischen zu den größten Herausforderungen für die Sicherheit von Druckinfrastrukturen und stehen an erster Stelle der genannten Risiken.</w:t>
      </w:r>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br/>
      </w:r>
    </w:p>
    <w:p w14:paraId="4DCFA3FF" w14:textId="6AB2E264" w:rsidR="00A953D2" w:rsidRPr="008C1624" w:rsidRDefault="00A953D2" w:rsidP="00A953D2">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Zudem gaben 54 Prozent der Befragten an, sehr oder äußerst besorgt darüber zu sein, dass Angreifer mithilfe von KI immer ausgefeiltere und schwerer erkennbare Angriffskonzepte entwickeln könnten. Im Vorjahr lag dieser Wert noch bei 40 Prozent.</w:t>
      </w:r>
      <w:r w:rsidR="006F57F0"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br/>
      </w:r>
    </w:p>
    <w:p w14:paraId="31D35604" w14:textId="6BA40093" w:rsidR="00A953D2" w:rsidRPr="008C1624" w:rsidRDefault="00A953D2" w:rsidP="00A953D2">
      <w:pPr>
        <w:pStyle w:val="SubsubheadK"/>
        <w:rPr>
          <w:rFonts w:eastAsia="Times New Roman" w:cs="Times New Roman"/>
          <w:color w:val="auto"/>
          <w:sz w:val="24"/>
          <w:szCs w:val="24"/>
          <w:bdr w:val="none" w:sz="0" w:space="0" w:color="auto"/>
          <w:lang w:eastAsia="en-US"/>
          <w14:textOutline w14:w="0" w14:cap="rnd" w14:cmpd="sng" w14:algn="ctr">
            <w14:noFill/>
            <w14:prstDash w14:val="solid"/>
            <w14:bevel/>
          </w14:textOutline>
        </w:rPr>
      </w:pPr>
      <w:r w:rsidRPr="008C1624">
        <w:rPr>
          <w:rFonts w:eastAsia="Times New Roman" w:cs="Times New Roman"/>
          <w:color w:val="auto"/>
          <w:sz w:val="24"/>
          <w:szCs w:val="24"/>
          <w:bdr w:val="none" w:sz="0" w:space="0" w:color="auto"/>
          <w:lang w:eastAsia="en-US"/>
          <w14:textOutline w14:w="0" w14:cap="rnd" w14:cmpd="sng" w14:algn="ctr">
            <w14:noFill/>
            <w14:prstDash w14:val="solid"/>
            <w14:bevel/>
          </w14:textOutline>
        </w:rPr>
        <w:t>Gemischte Druckerflotten stellen Risiko dar</w:t>
      </w:r>
      <w:r w:rsidR="006F57F0" w:rsidRPr="008C1624">
        <w:rPr>
          <w:rFonts w:eastAsia="Times New Roman" w:cs="Times New Roman"/>
          <w:color w:val="auto"/>
          <w:sz w:val="24"/>
          <w:szCs w:val="24"/>
          <w:bdr w:val="none" w:sz="0" w:space="0" w:color="auto"/>
          <w:lang w:eastAsia="en-US"/>
          <w14:textOutline w14:w="0" w14:cap="rnd" w14:cmpd="sng" w14:algn="ctr">
            <w14:noFill/>
            <w14:prstDash w14:val="solid"/>
            <w14:bevel/>
          </w14:textOutline>
        </w:rPr>
        <w:br/>
      </w:r>
    </w:p>
    <w:p w14:paraId="1397975F" w14:textId="77777777" w:rsidR="00A953D2" w:rsidRPr="008C1624" w:rsidRDefault="00A953D2" w:rsidP="00A953D2">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lastRenderedPageBreak/>
        <w:t xml:space="preserve">Neben KI-basierten Angriffen zählen Sicherheitslücken in Firmware und Hardware mit 29 Prozent zu den größten Herausforderungen für Unternehmen. Besonders bei Druckerflotten unterschiedlicher Hersteller sieht </w:t>
      </w:r>
      <w:proofErr w:type="spellStart"/>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Quocirca</w:t>
      </w:r>
      <w:proofErr w:type="spellEnd"/>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 xml:space="preserve"> erhöhte Risiken. Uneinheitliche Sicherheitskonfigurationen, unterschiedliche Update-Zyklen für Firmware sowie fragmentierte Werkzeuge für das Druckmanagement können zusätzliche Schwachstellen schaffen.</w:t>
      </w:r>
    </w:p>
    <w:p w14:paraId="359B3468" w14:textId="77777777" w:rsidR="006C5851" w:rsidRPr="008C1624" w:rsidRDefault="006C5851" w:rsidP="00A953D2">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p>
    <w:p w14:paraId="3996C8AA" w14:textId="23367C76" w:rsidR="00A953D2" w:rsidRPr="008C1624" w:rsidRDefault="00A953D2" w:rsidP="00A953D2">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proofErr w:type="spellStart"/>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Quocirca</w:t>
      </w:r>
      <w:proofErr w:type="spellEnd"/>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 xml:space="preserve"> empfiehlt Unternehmen daher, den Sicherheitsstatus ihrer Druckinfrastruktur kontinuierlich zu überwachen. Dazu zählen unter anderem Gerätekonfigurationen, Firmware-Versionen und weitere sicherheitsrelevante Parameter, wie rollenbasierte Zugriffsrechte, Follow Me und Secure Print </w:t>
      </w:r>
      <w:proofErr w:type="spellStart"/>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Policies</w:t>
      </w:r>
      <w:proofErr w:type="spellEnd"/>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w:t>
      </w:r>
      <w:r w:rsidR="001C3648"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br/>
      </w:r>
    </w:p>
    <w:p w14:paraId="689D0197" w14:textId="0DB6F6F9" w:rsidR="00A953D2" w:rsidRPr="008C1624" w:rsidRDefault="00A953D2" w:rsidP="00A953D2">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Der Bericht nennt drei Bereiche, die aus Sicht der Analysten zu den besonderen Stärken von Konica Minolta zählen:</w:t>
      </w:r>
      <w:r w:rsidR="006F57F0"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br/>
      </w:r>
    </w:p>
    <w:p w14:paraId="6A52E3E8" w14:textId="77777777" w:rsidR="00A953D2" w:rsidRPr="008C1624" w:rsidRDefault="00A953D2" w:rsidP="00A953D2">
      <w:pPr>
        <w:pStyle w:val="SubsubheadK"/>
        <w:rPr>
          <w:rFonts w:eastAsia="Times New Roman" w:cs="Times New Roman"/>
          <w:color w:val="auto"/>
          <w:sz w:val="24"/>
          <w:szCs w:val="24"/>
          <w:bdr w:val="none" w:sz="0" w:space="0" w:color="auto"/>
          <w:lang w:eastAsia="en-US"/>
          <w14:textOutline w14:w="0" w14:cap="rnd" w14:cmpd="sng" w14:algn="ctr">
            <w14:noFill/>
            <w14:prstDash w14:val="solid"/>
            <w14:bevel/>
          </w14:textOutline>
        </w:rPr>
      </w:pPr>
      <w:r w:rsidRPr="008C1624">
        <w:rPr>
          <w:rFonts w:eastAsia="Times New Roman" w:cs="Times New Roman"/>
          <w:color w:val="auto"/>
          <w:sz w:val="24"/>
          <w:szCs w:val="24"/>
          <w:bdr w:val="none" w:sz="0" w:space="0" w:color="auto"/>
          <w:lang w:eastAsia="en-US"/>
          <w14:textOutline w14:w="0" w14:cap="rnd" w14:cmpd="sng" w14:algn="ctr">
            <w14:noFill/>
            <w14:prstDash w14:val="solid"/>
            <w14:bevel/>
          </w14:textOutline>
        </w:rPr>
        <w:t>Höhere Sicherheit durch unabhängige Zertifizierungen und externe Validierung</w:t>
      </w:r>
    </w:p>
    <w:p w14:paraId="604FBA99" w14:textId="77777777" w:rsidR="001C3648" w:rsidRPr="008C1624" w:rsidRDefault="001C3648" w:rsidP="00A953D2">
      <w:pPr>
        <w:pStyle w:val="SubsubheadK"/>
        <w:rPr>
          <w:rFonts w:eastAsia="Times New Roman" w:cs="Times New Roman"/>
          <w:color w:val="auto"/>
          <w:sz w:val="24"/>
          <w:szCs w:val="24"/>
          <w:bdr w:val="none" w:sz="0" w:space="0" w:color="auto"/>
          <w:lang w:eastAsia="en-US"/>
          <w14:textOutline w14:w="0" w14:cap="rnd" w14:cmpd="sng" w14:algn="ctr">
            <w14:noFill/>
            <w14:prstDash w14:val="solid"/>
            <w14:bevel/>
          </w14:textOutline>
        </w:rPr>
      </w:pPr>
    </w:p>
    <w:p w14:paraId="08FE2442" w14:textId="3F2D73C4" w:rsidR="00A953D2" w:rsidRPr="008C1624" w:rsidRDefault="00A953D2" w:rsidP="00A953D2">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 xml:space="preserve">Als einen wesentlichen Faktor für die erneute Einstufung als Leader nennt </w:t>
      </w:r>
      <w:proofErr w:type="spellStart"/>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Quocirca</w:t>
      </w:r>
      <w:proofErr w:type="spellEnd"/>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 xml:space="preserve"> die Ausweitung unabhängiger Sicherheitszertifizierungen innerhalb des Konica Minolta-Portfolios. Konkret wird die wachsende Zahl von Systemen der bizhub i-Series hervorgehoben, die nach NIAP/Common </w:t>
      </w:r>
      <w:proofErr w:type="spellStart"/>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Criteria</w:t>
      </w:r>
      <w:proofErr w:type="spellEnd"/>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 xml:space="preserve"> (HCD-PP v1.0) zertifiziert sind. Diese Zertifizierung schafft insbesondere in regulierten Umgebungen eine zusätzliche Vertrauensbasis, in denen formale Sicherheitsnachweise häufig Voraussetzung sind.</w:t>
      </w:r>
      <w:r w:rsidR="006F57F0"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br/>
      </w:r>
    </w:p>
    <w:p w14:paraId="18C1BDD0" w14:textId="4DBF00B7" w:rsidR="00A953D2" w:rsidRPr="008C1624" w:rsidRDefault="00A953D2" w:rsidP="00A953D2">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 xml:space="preserve">Darüber hinaus verweist </w:t>
      </w:r>
      <w:proofErr w:type="spellStart"/>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Quocirca</w:t>
      </w:r>
      <w:proofErr w:type="spellEnd"/>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 xml:space="preserve"> auf unabhängige Penetrations- und Sicherheitstests, mit denen Konica Minolta die Sicherheit seiner Systeme kontinuierlich prüft.</w:t>
      </w:r>
      <w:r w:rsidR="006F57F0"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br/>
      </w:r>
    </w:p>
    <w:p w14:paraId="5B9B9320" w14:textId="77777777" w:rsidR="00A953D2" w:rsidRPr="008C1624" w:rsidRDefault="00A953D2" w:rsidP="00A953D2">
      <w:pPr>
        <w:pStyle w:val="SubsubheadK"/>
        <w:rPr>
          <w:rFonts w:eastAsia="Times New Roman" w:cs="Times New Roman"/>
          <w:color w:val="auto"/>
          <w:sz w:val="24"/>
          <w:szCs w:val="24"/>
          <w:bdr w:val="none" w:sz="0" w:space="0" w:color="auto"/>
          <w:lang w:eastAsia="en-US"/>
          <w14:textOutline w14:w="0" w14:cap="rnd" w14:cmpd="sng" w14:algn="ctr">
            <w14:noFill/>
            <w14:prstDash w14:val="solid"/>
            <w14:bevel/>
          </w14:textOutline>
        </w:rPr>
      </w:pPr>
      <w:r w:rsidRPr="008C1624">
        <w:rPr>
          <w:rFonts w:eastAsia="Times New Roman" w:cs="Times New Roman"/>
          <w:color w:val="auto"/>
          <w:sz w:val="24"/>
          <w:szCs w:val="24"/>
          <w:bdr w:val="none" w:sz="0" w:space="0" w:color="auto"/>
          <w:lang w:eastAsia="en-US"/>
          <w14:textOutline w14:w="0" w14:cap="rnd" w14:cmpd="sng" w14:algn="ctr">
            <w14:noFill/>
            <w14:prstDash w14:val="solid"/>
            <w14:bevel/>
          </w14:textOutline>
        </w:rPr>
        <w:t>Cloudbasierte Sicherheitsverwaltung schafft einheitliche Standards</w:t>
      </w:r>
    </w:p>
    <w:p w14:paraId="093AC2C5" w14:textId="77777777" w:rsidR="001C3648" w:rsidRPr="008C1624" w:rsidRDefault="001C3648" w:rsidP="00A953D2">
      <w:pPr>
        <w:pStyle w:val="SubsubheadK"/>
        <w:rPr>
          <w:rFonts w:eastAsia="Times New Roman" w:cs="Times New Roman"/>
          <w:color w:val="auto"/>
          <w:sz w:val="24"/>
          <w:szCs w:val="24"/>
          <w:bdr w:val="none" w:sz="0" w:space="0" w:color="auto"/>
          <w:lang w:eastAsia="en-US"/>
          <w14:textOutline w14:w="0" w14:cap="rnd" w14:cmpd="sng" w14:algn="ctr">
            <w14:noFill/>
            <w14:prstDash w14:val="solid"/>
            <w14:bevel/>
          </w14:textOutline>
        </w:rPr>
      </w:pPr>
    </w:p>
    <w:p w14:paraId="7A682629" w14:textId="3DA7C4BD" w:rsidR="00A953D2" w:rsidRPr="008C1624" w:rsidRDefault="00A953D2" w:rsidP="00A953D2">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lastRenderedPageBreak/>
        <w:t xml:space="preserve">Als weiteren Grund für die Führungsposition nennt </w:t>
      </w:r>
      <w:proofErr w:type="spellStart"/>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Quocirca</w:t>
      </w:r>
      <w:proofErr w:type="spellEnd"/>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 xml:space="preserve"> den Wandel von einer rein gerätebezogenen Sicherheitsbetrachtung hin zu einer kontinuierlichen, cloudbasierten Sicherheitsverwaltung. Im Mittelpunkt steht dabei die Plattform Shield Guard von Konica Minolta. Sie ermöglicht Unternehmen, Sicherheitsrichtlinien standortübergreifend zu verwalten, die Einhaltung regulatorischer Vorgaben zu überwachen und Abweichungen in Konfigurationen automatisch zu erkennen und zu beheben.</w:t>
      </w:r>
      <w:r w:rsidR="002A2BC4"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br/>
      </w:r>
    </w:p>
    <w:p w14:paraId="088CF68C" w14:textId="12D29EDA" w:rsidR="00A953D2" w:rsidRPr="008C1624" w:rsidRDefault="00A953D2" w:rsidP="00A953D2">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 xml:space="preserve">Nach Einschätzung von </w:t>
      </w:r>
      <w:proofErr w:type="spellStart"/>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Quocirca</w:t>
      </w:r>
      <w:proofErr w:type="spellEnd"/>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 xml:space="preserve"> adressiert dieser Ansatz eine der größten Herausforderungen moderner Druckumgebungen: die Sicherstellung eines einheitlichen Sicherheitsniveaus über verteilte Geräteflotten hinweg. Diese werden oft an mehreren Standorten betrieben oder von unterschiedlichen Dienstleistern betreut.</w:t>
      </w:r>
      <w:r w:rsidR="009C6E6D">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br/>
      </w:r>
    </w:p>
    <w:p w14:paraId="22DB11E2" w14:textId="6833564F" w:rsidR="00A953D2" w:rsidRPr="008C1624" w:rsidRDefault="00A953D2" w:rsidP="00A953D2">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Darüber hinaus unterstützt Shield Guard Unternehmen dabei, Risiken durch KI-gestützte Angriffe wie Ransomware, Schadsoftware, die Ausnutzung von Schwachstellen oder Passwortangriffe frühzeitig zu erkennen. Durch kontinuierliche Sicherheitsüberwachung, automatische Passworterneuerung, Compliance-Prüfungen und die proaktive Identifikation von Geräteschwachstellen trägt die Lösung dazu bei, potenzielle Sicherheitsrisiken zu reduzieren.</w:t>
      </w:r>
      <w:r w:rsidR="002A2BC4"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br/>
      </w:r>
    </w:p>
    <w:p w14:paraId="4949C758" w14:textId="1482F1C3" w:rsidR="00A953D2" w:rsidRPr="008C1624" w:rsidRDefault="00A953D2" w:rsidP="00A953D2">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 xml:space="preserve">Ergänzend hebt </w:t>
      </w:r>
      <w:proofErr w:type="spellStart"/>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Quocirca</w:t>
      </w:r>
      <w:proofErr w:type="spellEnd"/>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 xml:space="preserve"> das cloudbasierte Remote-Care-Ökosystem hervor, mit dem Firmware-Updates und Gerätekonfigurationen zentral und remote ausgerollt werden.</w:t>
      </w:r>
      <w:r w:rsidR="002A2BC4"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br/>
      </w:r>
    </w:p>
    <w:p w14:paraId="2E71564F" w14:textId="77777777" w:rsidR="00A953D2" w:rsidRPr="008C1624" w:rsidRDefault="00A953D2" w:rsidP="00A953D2">
      <w:pPr>
        <w:pStyle w:val="SubsubheadK"/>
        <w:rPr>
          <w:rFonts w:eastAsia="Times New Roman" w:cs="Times New Roman"/>
          <w:color w:val="auto"/>
          <w:sz w:val="24"/>
          <w:szCs w:val="24"/>
          <w:bdr w:val="none" w:sz="0" w:space="0" w:color="auto"/>
          <w:lang w:eastAsia="en-US"/>
          <w14:textOutline w14:w="0" w14:cap="rnd" w14:cmpd="sng" w14:algn="ctr">
            <w14:noFill/>
            <w14:prstDash w14:val="solid"/>
            <w14:bevel/>
          </w14:textOutline>
        </w:rPr>
      </w:pPr>
      <w:r w:rsidRPr="008C1624">
        <w:rPr>
          <w:rFonts w:eastAsia="Times New Roman" w:cs="Times New Roman"/>
          <w:color w:val="auto"/>
          <w:sz w:val="24"/>
          <w:szCs w:val="24"/>
          <w:bdr w:val="none" w:sz="0" w:space="0" w:color="auto"/>
          <w:lang w:eastAsia="en-US"/>
          <w14:textOutline w14:w="0" w14:cap="rnd" w14:cmpd="sng" w14:algn="ctr">
            <w14:noFill/>
            <w14:prstDash w14:val="solid"/>
            <w14:bevel/>
          </w14:textOutline>
        </w:rPr>
        <w:t>Sichere Cloud-Druckumgebungen mit Microsoft-Technologien</w:t>
      </w:r>
    </w:p>
    <w:p w14:paraId="4B878286" w14:textId="77777777" w:rsidR="002A2BC4" w:rsidRPr="008C1624" w:rsidRDefault="002A2BC4" w:rsidP="00A953D2">
      <w:pPr>
        <w:pStyle w:val="SubsubheadK"/>
        <w:rPr>
          <w:rFonts w:eastAsia="Times New Roman" w:cs="Times New Roman"/>
          <w:color w:val="auto"/>
          <w:sz w:val="24"/>
          <w:szCs w:val="24"/>
          <w:bdr w:val="none" w:sz="0" w:space="0" w:color="auto"/>
          <w:lang w:eastAsia="en-US"/>
          <w14:textOutline w14:w="0" w14:cap="rnd" w14:cmpd="sng" w14:algn="ctr">
            <w14:noFill/>
            <w14:prstDash w14:val="solid"/>
            <w14:bevel/>
          </w14:textOutline>
        </w:rPr>
      </w:pPr>
    </w:p>
    <w:p w14:paraId="4D08D849" w14:textId="77777777" w:rsidR="00A953D2" w:rsidRPr="008C1624" w:rsidRDefault="00A953D2" w:rsidP="00A953D2">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 xml:space="preserve">Positiv bewertet </w:t>
      </w:r>
      <w:proofErr w:type="spellStart"/>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Quocirca</w:t>
      </w:r>
      <w:proofErr w:type="spellEnd"/>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 xml:space="preserve"> zudem die konsequente Ausrichtung von Konica Minolta auf moderne Cloud-Print-Architekturen von Microsoft. Immer mehr Unternehmen setzen auf cloudbasierte Druckdienste und moderne Druckpfade unter Windows, um die Abhängigkeit von klassischen Printservern und herkömmlichen Druckertreibern zu reduzieren.</w:t>
      </w:r>
    </w:p>
    <w:p w14:paraId="3076C03B" w14:textId="77777777" w:rsidR="002A2BC4" w:rsidRPr="008C1624" w:rsidRDefault="002A2BC4" w:rsidP="00A953D2">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p>
    <w:p w14:paraId="675E3C36" w14:textId="77777777" w:rsidR="00A953D2" w:rsidRPr="008C1624" w:rsidRDefault="00A953D2" w:rsidP="00A953D2">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lastRenderedPageBreak/>
        <w:t xml:space="preserve">Konica Minolta unterstützt die Microsoft-Lösung Universal Print einschließlich Universal Print Anywhere und Microsoft Entra ID. Ergänzt wird das Angebot durch die eigene Print Support </w:t>
      </w:r>
      <w:proofErr w:type="spellStart"/>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Application</w:t>
      </w:r>
      <w:proofErr w:type="spellEnd"/>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 xml:space="preserve"> als Nachfolger klassischer Druckertreiber.</w:t>
      </w:r>
      <w:r w:rsidRPr="00A953D2">
        <w:rPr>
          <w:rFonts w:eastAsia="Times New Roman" w:cs="Times New Roman"/>
          <w:b w:val="0"/>
          <w:bCs w:val="0"/>
          <w:color w:val="auto"/>
          <w:sz w:val="22"/>
          <w:szCs w:val="22"/>
          <w:bdr w:val="none" w:sz="0" w:space="0" w:color="auto"/>
          <w:lang w:eastAsia="en-US"/>
          <w14:textOutline w14:w="0" w14:cap="rnd" w14:cmpd="sng" w14:algn="ctr">
            <w14:noFill/>
            <w14:prstDash w14:val="solid"/>
            <w14:bevel/>
          </w14:textOutline>
        </w:rPr>
        <w:t xml:space="preserve"> </w:t>
      </w:r>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 xml:space="preserve">Nach Einschätzung von </w:t>
      </w:r>
      <w:proofErr w:type="spellStart"/>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Quocirca</w:t>
      </w:r>
      <w:proofErr w:type="spellEnd"/>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 xml:space="preserve"> trägt dieser Ansatz dazu bei, sicheres Cloud-Drucken durch starke Identitäts- und Richtlinienkontrollen zu unterstützen.</w:t>
      </w:r>
    </w:p>
    <w:p w14:paraId="209ABA5E" w14:textId="77777777" w:rsidR="002A2BC4" w:rsidRPr="008C1624" w:rsidRDefault="002A2BC4" w:rsidP="00A953D2">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p>
    <w:p w14:paraId="2538DFB3" w14:textId="77777777" w:rsidR="00A953D2" w:rsidRPr="008C1624" w:rsidRDefault="00A953D2" w:rsidP="00A953D2">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 xml:space="preserve">„Konica Minolta verankert Drucksicherheit in einer umfassenden Informationssicherheitsstrategie auf Basis von Zero-Trust-Prinzipien“, so das Fazit von </w:t>
      </w:r>
      <w:proofErr w:type="spellStart"/>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Quocirca</w:t>
      </w:r>
      <w:proofErr w:type="spellEnd"/>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w:t>
      </w:r>
    </w:p>
    <w:p w14:paraId="70BE667F" w14:textId="77777777" w:rsidR="00A953D2" w:rsidRPr="008C1624" w:rsidRDefault="00A953D2" w:rsidP="00A953D2">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p>
    <w:p w14:paraId="27085EA6" w14:textId="187D8413" w:rsidR="009B70AB" w:rsidRPr="008C1624" w:rsidRDefault="00A953D2" w:rsidP="00B90501">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r w:rsidRPr="008C1624">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„Die Ergebnisse der Studie verdeutlichen, dass Unternehmen Druckinfrastrukturen nicht länger als isolierte Peripheriegeräte betrachten können. Angesichts steigender Zahlen von Datenschutzverletzungen, zunehmender KI-gestützter Bedrohungen und immer komplexerer IT-Landschaften wird Print Security zu einem integralen Bestandteil ganzheitlicher Cybersicherheitsstrategien“, sagt Ole Maaz, Head of International Marketing Division bei Konica Minolta Business Solutions Europe. „Mit Lösungen wie Shield Guard unterstützen wir Unternehmen dabei, den Schritt von einzelnen Sicherheitseinstellungen auf Geräteebene hin zu einer kontinuierlichen, cloudbasierten Sicherheitsverwaltung ihrer gesamten Druckinfrastruktur zu vollziehen. Unser Ziel ist es, Sicherheitsrisiken nachhaltig zu reduzieren und gleichzeitig moderne, cloudbasierte Arbeitsumgebungen zu schaffen.“</w:t>
      </w:r>
    </w:p>
    <w:p w14:paraId="4254E11F" w14:textId="77777777" w:rsidR="009B70AB" w:rsidRPr="003D525B" w:rsidRDefault="009B70AB" w:rsidP="00C74F12">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p>
    <w:p w14:paraId="5867633F" w14:textId="4908673A" w:rsidR="003D525B" w:rsidRPr="003D525B" w:rsidRDefault="003D525B" w:rsidP="00C74F12">
      <w:pPr>
        <w:pStyle w:val="SubsubheadK"/>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pPr>
      <w:r w:rsidRPr="003D525B">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 xml:space="preserve">Der </w:t>
      </w:r>
      <w:proofErr w:type="spellStart"/>
      <w:r w:rsidRPr="003D525B">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Quocirca</w:t>
      </w:r>
      <w:proofErr w:type="spellEnd"/>
      <w:r w:rsidRPr="003D525B">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-Report „Print Security Landscape 2026“ kann </w:t>
      </w:r>
      <w:hyperlink r:id="rId10" w:history="1">
        <w:r w:rsidRPr="003D525B">
          <w:rPr>
            <w:rStyle w:val="Hyperlink"/>
            <w:rFonts w:eastAsia="Times New Roman" w:cs="Times New Roman"/>
            <w:b w:val="0"/>
            <w:bCs w:val="0"/>
            <w:sz w:val="24"/>
            <w:szCs w:val="24"/>
            <w:bdr w:val="none" w:sz="0" w:space="0" w:color="auto"/>
            <w:lang w:eastAsia="en-US"/>
            <w14:textOutline w14:w="0" w14:cap="rnd" w14:cmpd="sng" w14:algn="ctr">
              <w14:noFill/>
              <w14:prstDash w14:val="solid"/>
              <w14:bevel/>
            </w14:textOutline>
          </w:rPr>
          <w:t>HIER</w:t>
        </w:r>
      </w:hyperlink>
      <w:r w:rsidRPr="003D525B">
        <w:rPr>
          <w:rFonts w:eastAsia="Times New Roman" w:cs="Times New Roman"/>
          <w:b w:val="0"/>
          <w:bCs w:val="0"/>
          <w:color w:val="auto"/>
          <w:sz w:val="24"/>
          <w:szCs w:val="24"/>
          <w:bdr w:val="none" w:sz="0" w:space="0" w:color="auto"/>
          <w:lang w:eastAsia="en-US"/>
          <w14:textOutline w14:w="0" w14:cap="rnd" w14:cmpd="sng" w14:algn="ctr">
            <w14:noFill/>
            <w14:prstDash w14:val="solid"/>
            <w14:bevel/>
          </w14:textOutline>
        </w:rPr>
        <w:t> kostenfrei runtergeladen werden.</w:t>
      </w:r>
    </w:p>
    <w:p w14:paraId="5A87397E" w14:textId="77777777" w:rsidR="003D525B" w:rsidRPr="008C1624" w:rsidRDefault="003D525B" w:rsidP="00C74F12">
      <w:pPr>
        <w:pStyle w:val="SubsubheadK"/>
        <w:rPr>
          <w:color w:val="auto"/>
          <w:sz w:val="24"/>
          <w:szCs w:val="24"/>
        </w:rPr>
      </w:pPr>
    </w:p>
    <w:p w14:paraId="1FBFC5B2" w14:textId="77777777" w:rsidR="00BD714B" w:rsidRDefault="00BD714B" w:rsidP="00BD714B">
      <w:pPr>
        <w:pStyle w:val="BodyK"/>
      </w:pPr>
      <w:r w:rsidRPr="0074530C">
        <w:t>Diese Meldung steht Ihnen in unserem </w:t>
      </w:r>
      <w:hyperlink r:id="rId11" w:tooltip="https://www.konicaminolta.de/de-de/presse" w:history="1">
        <w:r w:rsidRPr="00004048">
          <w:rPr>
            <w:color w:val="0062C2"/>
            <w:kern w:val="28"/>
            <w:u w:color="0062C2"/>
          </w:rPr>
          <w:t>Newsroom</w:t>
        </w:r>
      </w:hyperlink>
      <w:r w:rsidRPr="0074530C">
        <w:t> zur Verfügung. Folgen Sie Konica Minolta auch auf </w:t>
      </w:r>
      <w:hyperlink r:id="rId12" w:tooltip="https://www.linkedin.com/company/konica-minolta-business-solutions-deutschland-gmbh" w:history="1">
        <w:r w:rsidRPr="00004048">
          <w:rPr>
            <w:color w:val="0062C2"/>
            <w:kern w:val="28"/>
            <w:u w:color="0062C2"/>
          </w:rPr>
          <w:t>LinkedIn</w:t>
        </w:r>
      </w:hyperlink>
      <w:r w:rsidRPr="0074530C">
        <w:t> und </w:t>
      </w:r>
      <w:hyperlink r:id="rId13" w:tooltip="https://www.youtube.com/user/KonicaMinoltaBD" w:history="1">
        <w:r w:rsidRPr="00004048">
          <w:rPr>
            <w:color w:val="0062C2"/>
            <w:kern w:val="28"/>
            <w:u w:color="0062C2"/>
          </w:rPr>
          <w:t>YouTube</w:t>
        </w:r>
      </w:hyperlink>
      <w:r w:rsidRPr="0074530C">
        <w:t>.</w:t>
      </w:r>
      <w:r w:rsidRPr="0074530C">
        <w:br/>
      </w:r>
      <w:r w:rsidRPr="0074530C">
        <w:br/>
        <w:t>Internetseite: </w:t>
      </w:r>
      <w:hyperlink r:id="rId14" w:tooltip="https://www.konicaminolta.de/" w:history="1">
        <w:r w:rsidRPr="00004048">
          <w:rPr>
            <w:color w:val="0062C2"/>
            <w:kern w:val="28"/>
            <w:u w:color="0062C2"/>
          </w:rPr>
          <w:t>https://www.konicaminolta.de/</w:t>
        </w:r>
      </w:hyperlink>
      <w:r w:rsidRPr="00004048">
        <w:rPr>
          <w:color w:val="0062C2"/>
          <w:kern w:val="28"/>
          <w:u w:color="0062C2"/>
        </w:rPr>
        <w:br/>
      </w:r>
      <w:r w:rsidRPr="0074530C">
        <w:t>Newsroom: </w:t>
      </w:r>
      <w:hyperlink r:id="rId15" w:tooltip="https://www.konicaminolta.de/de-de/presse" w:history="1">
        <w:r w:rsidRPr="00004048">
          <w:rPr>
            <w:color w:val="0062C2"/>
            <w:kern w:val="28"/>
            <w:u w:color="0062C2"/>
          </w:rPr>
          <w:t>https://www.konicaminolta.de/de-de/presse</w:t>
        </w:r>
      </w:hyperlink>
      <w:r w:rsidRPr="00004048">
        <w:rPr>
          <w:color w:val="0062C2"/>
          <w:kern w:val="28"/>
          <w:u w:color="0062C2"/>
        </w:rPr>
        <w:br/>
      </w:r>
      <w:r w:rsidRPr="0074530C">
        <w:t>Blog: </w:t>
      </w:r>
      <w:hyperlink r:id="rId16" w:tooltip="https://www.konicaminolta.de/de-de/blog" w:history="1">
        <w:r w:rsidRPr="00004048">
          <w:rPr>
            <w:color w:val="0062C2"/>
            <w:kern w:val="28"/>
            <w:u w:color="0062C2"/>
          </w:rPr>
          <w:t>https://www.konicaminolta.de/de-de/blog</w:t>
        </w:r>
      </w:hyperlink>
      <w:r w:rsidRPr="00004048">
        <w:rPr>
          <w:color w:val="0062C2"/>
          <w:kern w:val="28"/>
          <w:u w:color="0062C2"/>
        </w:rPr>
        <w:br/>
      </w:r>
      <w:r w:rsidRPr="0074530C">
        <w:lastRenderedPageBreak/>
        <w:t>Bilddateien: </w:t>
      </w:r>
      <w:hyperlink r:id="rId17" w:tooltip="https://konicaminolta.eu/mediastore-public" w:history="1">
        <w:r w:rsidRPr="00004048">
          <w:rPr>
            <w:color w:val="0062C2"/>
            <w:kern w:val="28"/>
            <w:u w:color="0062C2"/>
          </w:rPr>
          <w:t>https://konicaminolta.eu/mediastore-public</w:t>
        </w:r>
      </w:hyperlink>
      <w:r>
        <w:br/>
      </w:r>
    </w:p>
    <w:p w14:paraId="78227EBA" w14:textId="5C5ABADE" w:rsidR="00630A83" w:rsidRPr="008C1624" w:rsidRDefault="00630A83" w:rsidP="00BD714B">
      <w:pPr>
        <w:pStyle w:val="BodyK"/>
        <w:rPr>
          <w:rStyle w:val="Hyperlink0"/>
        </w:rPr>
      </w:pPr>
      <w:r w:rsidRPr="008C1624">
        <w:rPr>
          <w:rStyle w:val="Hyperlink0"/>
        </w:rPr>
        <w:t>Bildrechte: Konica Minolta</w:t>
      </w:r>
    </w:p>
    <w:p w14:paraId="7F1165D1" w14:textId="5DC2F651" w:rsidR="00127C76" w:rsidRPr="009B70AB" w:rsidRDefault="00127C76" w:rsidP="001914FF">
      <w:pPr>
        <w:pStyle w:val="BodyK"/>
        <w:ind w:left="0"/>
        <w:rPr>
          <w:sz w:val="22"/>
          <w:szCs w:val="22"/>
        </w:rPr>
      </w:pPr>
      <w:r w:rsidRPr="009B70AB">
        <w:rPr>
          <w:sz w:val="22"/>
          <w:szCs w:val="22"/>
        </w:rPr>
        <w:t> </w:t>
      </w:r>
    </w:p>
    <w:p w14:paraId="597BEDEC" w14:textId="77777777" w:rsidR="00127C76" w:rsidRPr="009B70AB" w:rsidRDefault="00127C76" w:rsidP="00127C76">
      <w:pPr>
        <w:pStyle w:val="BodyK"/>
        <w:rPr>
          <w:b/>
          <w:bCs/>
          <w:sz w:val="22"/>
          <w:szCs w:val="22"/>
        </w:rPr>
      </w:pPr>
    </w:p>
    <w:p w14:paraId="6277BFB9" w14:textId="076CD08A" w:rsidR="002B160E" w:rsidRPr="008C1624" w:rsidRDefault="002B160E" w:rsidP="00311257">
      <w:pPr>
        <w:pStyle w:val="BodyK"/>
        <w:rPr>
          <w:rFonts w:cstheme="minorHAnsi"/>
          <w:b/>
          <w:bCs/>
          <w:color w:val="auto"/>
          <w:sz w:val="22"/>
          <w:szCs w:val="22"/>
        </w:rPr>
      </w:pPr>
      <w:r w:rsidRPr="008C1624">
        <w:rPr>
          <w:b/>
          <w:bCs/>
          <w:color w:val="0062C2"/>
          <w:kern w:val="28"/>
          <w:sz w:val="22"/>
          <w:szCs w:val="22"/>
          <w:u w:color="0062C2"/>
        </w:rPr>
        <w:t>Über Konica Minolta Business Solutions Europe</w:t>
      </w:r>
      <w:r w:rsidR="00004048">
        <w:rPr>
          <w:rFonts w:cstheme="minorHAnsi"/>
          <w:b/>
          <w:bCs/>
          <w:color w:val="auto"/>
          <w:sz w:val="20"/>
          <w:szCs w:val="20"/>
        </w:rPr>
        <w:br/>
      </w:r>
      <w:r w:rsidR="00311257">
        <w:rPr>
          <w:rFonts w:cstheme="minorHAnsi"/>
          <w:b/>
          <w:bCs/>
          <w:color w:val="auto"/>
          <w:sz w:val="20"/>
          <w:szCs w:val="20"/>
        </w:rPr>
        <w:br/>
      </w:r>
      <w:r w:rsidRPr="008C1624">
        <w:rPr>
          <w:rFonts w:cstheme="minorHAnsi"/>
          <w:color w:val="auto"/>
          <w:sz w:val="22"/>
          <w:szCs w:val="22"/>
        </w:rPr>
        <w:t>Die Konica Minolta Business Solutions Europe GmbH mit Sitz in Langenhagen, Deutschland, ist eine hundertprozentige Tochtergesellschaft der Konica Minolta Inc. in Tokio, Japan. Mit der einzigartigen Expertise in den Bereichen Imaging, Datenverarbeitung und datenbasierte Entscheidungsfindung schafft Konica Minolta relevante Lösungen für seine Kunden - kleine und mittelständische Unternehmen, Großunternehmen und den öffentlichen Sektor - und löst damit gesellschaftliche Herausforderungen.</w:t>
      </w:r>
      <w:r w:rsidR="00106F92">
        <w:rPr>
          <w:rFonts w:cstheme="minorHAnsi"/>
          <w:color w:val="auto"/>
          <w:sz w:val="22"/>
          <w:szCs w:val="22"/>
        </w:rPr>
        <w:br/>
      </w:r>
    </w:p>
    <w:p w14:paraId="2702FA3E" w14:textId="77777777" w:rsidR="002B160E" w:rsidRPr="008C1624" w:rsidRDefault="002B160E" w:rsidP="002B160E">
      <w:pPr>
        <w:pStyle w:val="BodyK"/>
        <w:rPr>
          <w:rFonts w:cstheme="minorHAnsi"/>
          <w:color w:val="auto"/>
          <w:sz w:val="22"/>
          <w:szCs w:val="22"/>
        </w:rPr>
      </w:pPr>
      <w:r w:rsidRPr="008C1624">
        <w:rPr>
          <w:rFonts w:cstheme="minorHAnsi"/>
          <w:color w:val="auto"/>
          <w:sz w:val="22"/>
          <w:szCs w:val="22"/>
        </w:rPr>
        <w:t xml:space="preserve">Konica Minolta Business Solutions Europe ist mit Tochtergesellschaften und Vertriebspartnern in mehr als 80 Ländern in Europa, Zentralasien, dem Nahen Osten und Afrika vertreten. Mit rund 7.500 Mitarbeitern (Stand: 31.März 2026) erwirtschaftete Konica Minolta Europe im Geschäftsjahr 2025/2026 einen Nettoumsatz von 1,954 Milliarden Euro. Weltweit beschäftigt das Unternehmen rund 34.300 Mitarbeiter und ist in mehr als 150 Ländern tätig. </w:t>
      </w:r>
    </w:p>
    <w:p w14:paraId="3846F4CA" w14:textId="77777777" w:rsidR="002B160E" w:rsidRPr="008C1624" w:rsidRDefault="002B160E" w:rsidP="002B160E">
      <w:pPr>
        <w:pStyle w:val="BodyK"/>
        <w:rPr>
          <w:rFonts w:cstheme="minorHAnsi"/>
          <w:color w:val="auto"/>
          <w:sz w:val="22"/>
          <w:szCs w:val="22"/>
        </w:rPr>
      </w:pPr>
    </w:p>
    <w:p w14:paraId="7E0AF530" w14:textId="409A73B3" w:rsidR="002B160E" w:rsidRPr="008C1624" w:rsidRDefault="002B160E" w:rsidP="001E1DAE">
      <w:pPr>
        <w:pStyle w:val="BodyK"/>
        <w:rPr>
          <w:rFonts w:cstheme="minorHAnsi"/>
          <w:color w:val="auto"/>
          <w:sz w:val="22"/>
          <w:szCs w:val="22"/>
        </w:rPr>
      </w:pPr>
      <w:r w:rsidRPr="008C1624">
        <w:rPr>
          <w:rFonts w:cstheme="minorHAnsi"/>
          <w:b/>
          <w:bCs/>
          <w:color w:val="auto"/>
          <w:sz w:val="22"/>
          <w:szCs w:val="22"/>
        </w:rPr>
        <w:t>Medienkontakt Konica Minolta Business Solutions Europe</w:t>
      </w:r>
      <w:r w:rsidRPr="008C1624">
        <w:rPr>
          <w:rFonts w:cstheme="minorHAnsi"/>
          <w:color w:val="auto"/>
          <w:sz w:val="22"/>
          <w:szCs w:val="22"/>
        </w:rPr>
        <w:t>:</w:t>
      </w:r>
      <w:r w:rsidR="001E1DAE" w:rsidRPr="008C1624">
        <w:rPr>
          <w:rFonts w:cstheme="minorHAnsi"/>
          <w:color w:val="auto"/>
          <w:sz w:val="22"/>
          <w:szCs w:val="22"/>
        </w:rPr>
        <w:br/>
      </w:r>
      <w:r w:rsidRPr="008C1624">
        <w:rPr>
          <w:rFonts w:cstheme="minorHAnsi"/>
          <w:color w:val="0070C0"/>
          <w:sz w:val="22"/>
          <w:szCs w:val="22"/>
        </w:rPr>
        <w:br/>
      </w:r>
      <w:r w:rsidRPr="008C1624">
        <w:rPr>
          <w:rFonts w:cstheme="minorHAnsi"/>
          <w:color w:val="auto"/>
          <w:sz w:val="22"/>
          <w:szCs w:val="22"/>
        </w:rPr>
        <w:t>Melanie Olbrich</w:t>
      </w:r>
    </w:p>
    <w:p w14:paraId="056D1F2A" w14:textId="77777777" w:rsidR="002B160E" w:rsidRPr="008C1624" w:rsidRDefault="002B160E" w:rsidP="002B160E">
      <w:pPr>
        <w:pStyle w:val="BodyK"/>
        <w:rPr>
          <w:rFonts w:cstheme="minorHAnsi"/>
          <w:color w:val="auto"/>
          <w:sz w:val="22"/>
          <w:szCs w:val="22"/>
        </w:rPr>
      </w:pPr>
      <w:r w:rsidRPr="008C1624">
        <w:rPr>
          <w:rFonts w:cstheme="minorHAnsi"/>
          <w:color w:val="auto"/>
          <w:sz w:val="22"/>
          <w:szCs w:val="22"/>
        </w:rPr>
        <w:t>Senior Corporate Communications &amp; Content Manager</w:t>
      </w:r>
    </w:p>
    <w:p w14:paraId="465130F3" w14:textId="77777777" w:rsidR="002B160E" w:rsidRPr="001F2302" w:rsidRDefault="002B160E" w:rsidP="002B160E">
      <w:pPr>
        <w:pStyle w:val="BodyK"/>
        <w:rPr>
          <w:color w:val="0062C2"/>
          <w:kern w:val="28"/>
          <w:sz w:val="22"/>
          <w:szCs w:val="22"/>
          <w:u w:color="0062C2"/>
        </w:rPr>
      </w:pPr>
      <w:hyperlink r:id="rId18" w:history="1">
        <w:r w:rsidRPr="001F2302">
          <w:rPr>
            <w:color w:val="0062C2"/>
            <w:kern w:val="28"/>
            <w:sz w:val="22"/>
            <w:szCs w:val="22"/>
            <w:u w:color="0062C2"/>
          </w:rPr>
          <w:t>Melanie.Olbrich@konicaminolta.eu</w:t>
        </w:r>
      </w:hyperlink>
    </w:p>
    <w:p w14:paraId="33CFB7F0" w14:textId="77777777" w:rsidR="002B160E" w:rsidRPr="008C1624" w:rsidRDefault="002B160E" w:rsidP="002B160E">
      <w:pPr>
        <w:pStyle w:val="BodyK"/>
        <w:rPr>
          <w:rFonts w:cstheme="minorHAnsi"/>
          <w:color w:val="auto"/>
          <w:sz w:val="22"/>
          <w:szCs w:val="22"/>
        </w:rPr>
      </w:pPr>
      <w:r w:rsidRPr="008C1624">
        <w:rPr>
          <w:rFonts w:cstheme="minorHAnsi"/>
          <w:color w:val="auto"/>
          <w:sz w:val="22"/>
          <w:szCs w:val="22"/>
        </w:rPr>
        <w:t>Tel. +49 (0)511 7404-5337</w:t>
      </w:r>
    </w:p>
    <w:p w14:paraId="42D04DFA" w14:textId="77777777" w:rsidR="002B160E" w:rsidRPr="008C1624" w:rsidRDefault="002B160E" w:rsidP="002B160E">
      <w:pPr>
        <w:pStyle w:val="BodyK"/>
        <w:rPr>
          <w:rFonts w:cstheme="minorHAnsi"/>
          <w:color w:val="0070C0"/>
          <w:sz w:val="22"/>
          <w:szCs w:val="22"/>
        </w:rPr>
      </w:pPr>
    </w:p>
    <w:p w14:paraId="245E1E88" w14:textId="77777777" w:rsidR="00127C76" w:rsidRPr="008C1624" w:rsidRDefault="00127C76" w:rsidP="005C5A34">
      <w:pPr>
        <w:pStyle w:val="BodyK"/>
        <w:ind w:left="0"/>
        <w:rPr>
          <w:rFonts w:cstheme="minorHAnsi"/>
          <w:color w:val="0070C0"/>
          <w:sz w:val="22"/>
          <w:szCs w:val="22"/>
        </w:rPr>
      </w:pPr>
    </w:p>
    <w:sectPr w:rsidR="00127C76" w:rsidRPr="008C1624">
      <w:footerReference w:type="default" r:id="rId19"/>
      <w:headerReference w:type="first" r:id="rId20"/>
      <w:pgSz w:w="11900" w:h="16840"/>
      <w:pgMar w:top="1985" w:right="1134" w:bottom="851" w:left="851" w:header="709" w:footer="133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276EA1" w14:textId="77777777" w:rsidR="00E3477F" w:rsidRDefault="00E3477F">
      <w:r>
        <w:separator/>
      </w:r>
    </w:p>
  </w:endnote>
  <w:endnote w:type="continuationSeparator" w:id="0">
    <w:p w14:paraId="6BCBDED7" w14:textId="77777777" w:rsidR="00E3477F" w:rsidRDefault="00E347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601D69" w14:textId="77777777" w:rsidR="00BB5544" w:rsidRPr="001A613E" w:rsidRDefault="00BB5544" w:rsidP="001A613E">
    <w:pPr>
      <w:pStyle w:val="BodyK"/>
      <w:ind w:left="0"/>
      <w:rPr>
        <w:lang w:val="de-A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8B7C25" w14:textId="77777777" w:rsidR="00E3477F" w:rsidRDefault="00E3477F">
      <w:r>
        <w:separator/>
      </w:r>
    </w:p>
  </w:footnote>
  <w:footnote w:type="continuationSeparator" w:id="0">
    <w:p w14:paraId="6B71126A" w14:textId="77777777" w:rsidR="00E3477F" w:rsidRDefault="00E347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713725" w14:textId="73349262" w:rsidR="00F178B7" w:rsidRDefault="00F178B7">
    <w:pPr>
      <w:pStyle w:val="Kopfzeile"/>
    </w:pPr>
    <w:r>
      <w:rPr>
        <w:noProof/>
        <w14:textOutline w14:w="0" w14:cap="rnd" w14:cmpd="sng" w14:algn="ctr">
          <w14:noFill/>
          <w14:prstDash w14:val="solid"/>
          <w14:bevel/>
        </w14:textOutline>
      </w:rPr>
      <w:drawing>
        <wp:anchor distT="0" distB="0" distL="114300" distR="114300" simplePos="0" relativeHeight="251658240" behindDoc="0" locked="0" layoutInCell="1" allowOverlap="1" wp14:anchorId="42E0A2E0" wp14:editId="43456542">
          <wp:simplePos x="0" y="0"/>
          <wp:positionH relativeFrom="column">
            <wp:align>center</wp:align>
          </wp:positionH>
          <wp:positionV relativeFrom="paragraph">
            <wp:posOffset>0</wp:posOffset>
          </wp:positionV>
          <wp:extent cx="1292400" cy="784800"/>
          <wp:effectExtent l="0" t="0" r="3175" b="0"/>
          <wp:wrapSquare wrapText="bothSides"/>
          <wp:docPr id="5" name="図 1" descr="wor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1" descr="word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2400" cy="784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rect id="_x0000_i1025" style="width:0;height:1.5pt" o:hralign="center" o:bullet="t" o:hrstd="t" o:hr="t" fillcolor="#a0a0a0" stroked="f"/>
    </w:pict>
  </w:numPicBullet>
  <w:numPicBullet w:numPicBulletId="1">
    <w:pict>
      <v:rect id="_x0000_i1026" style="width:0;height:1.5pt" o:hralign="center" o:bullet="t" o:hrstd="t" o:hr="t" fillcolor="#a0a0a0" stroked="f"/>
    </w:pict>
  </w:numPicBullet>
  <w:abstractNum w:abstractNumId="0" w15:restartNumberingAfterBreak="0">
    <w:nsid w:val="0797596C"/>
    <w:multiLevelType w:val="hybridMultilevel"/>
    <w:tmpl w:val="9A461550"/>
    <w:styleLink w:val="ImportierterStil3"/>
    <w:lvl w:ilvl="0" w:tplc="035C5A6C">
      <w:start w:val="1"/>
      <w:numFmt w:val="bullet"/>
      <w:lvlText w:val="·"/>
      <w:lvlJc w:val="left"/>
      <w:pPr>
        <w:ind w:left="17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7EB8F1AA">
      <w:start w:val="1"/>
      <w:numFmt w:val="bullet"/>
      <w:lvlText w:val="·"/>
      <w:lvlJc w:val="left"/>
      <w:pPr>
        <w:ind w:left="24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940044F4">
      <w:start w:val="1"/>
      <w:numFmt w:val="bullet"/>
      <w:lvlText w:val="·"/>
      <w:lvlJc w:val="left"/>
      <w:pPr>
        <w:ind w:left="31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B854EEBE">
      <w:start w:val="1"/>
      <w:numFmt w:val="bullet"/>
      <w:lvlText w:val="·"/>
      <w:lvlJc w:val="left"/>
      <w:pPr>
        <w:ind w:left="38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759EA286">
      <w:start w:val="1"/>
      <w:numFmt w:val="bullet"/>
      <w:lvlText w:val="·"/>
      <w:lvlJc w:val="left"/>
      <w:pPr>
        <w:ind w:left="459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DFCA9F0">
      <w:start w:val="1"/>
      <w:numFmt w:val="bullet"/>
      <w:lvlText w:val="·"/>
      <w:lvlJc w:val="left"/>
      <w:pPr>
        <w:ind w:left="53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EFD8DE8C">
      <w:start w:val="1"/>
      <w:numFmt w:val="bullet"/>
      <w:lvlText w:val="·"/>
      <w:lvlJc w:val="left"/>
      <w:pPr>
        <w:ind w:left="60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4B60EFE2">
      <w:start w:val="1"/>
      <w:numFmt w:val="bullet"/>
      <w:lvlText w:val="·"/>
      <w:lvlJc w:val="left"/>
      <w:pPr>
        <w:ind w:left="67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356264B8">
      <w:start w:val="1"/>
      <w:numFmt w:val="bullet"/>
      <w:lvlText w:val="·"/>
      <w:lvlJc w:val="left"/>
      <w:pPr>
        <w:ind w:left="74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 w15:restartNumberingAfterBreak="0">
    <w:nsid w:val="1A78121A"/>
    <w:multiLevelType w:val="hybridMultilevel"/>
    <w:tmpl w:val="F8C2BE24"/>
    <w:numStyleLink w:val="ImportierterStil2"/>
  </w:abstractNum>
  <w:abstractNum w:abstractNumId="2" w15:restartNumberingAfterBreak="0">
    <w:nsid w:val="1EA715BB"/>
    <w:multiLevelType w:val="hybridMultilevel"/>
    <w:tmpl w:val="2AC66378"/>
    <w:numStyleLink w:val="ImportierterStil4"/>
  </w:abstractNum>
  <w:abstractNum w:abstractNumId="3" w15:restartNumberingAfterBreak="0">
    <w:nsid w:val="25DA5096"/>
    <w:multiLevelType w:val="hybridMultilevel"/>
    <w:tmpl w:val="F54E78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669332C"/>
    <w:multiLevelType w:val="hybridMultilevel"/>
    <w:tmpl w:val="A478287E"/>
    <w:styleLink w:val="BulletK"/>
    <w:lvl w:ilvl="0" w:tplc="BAACEA8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17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3BC400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4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454C068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31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C658CE8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38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CE7055A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59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50EAA6F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53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E00108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60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EFFEA89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67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658E85C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74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329E273F"/>
    <w:multiLevelType w:val="hybridMultilevel"/>
    <w:tmpl w:val="CBDC2C00"/>
    <w:lvl w:ilvl="0" w:tplc="5658FE26">
      <w:start w:val="1"/>
      <w:numFmt w:val="bullet"/>
      <w:lvlText w:val=""/>
      <w:lvlPicBulletId w:val="1"/>
      <w:lvlJc w:val="left"/>
      <w:pPr>
        <w:tabs>
          <w:tab w:val="num" w:pos="720"/>
        </w:tabs>
        <w:ind w:left="720" w:hanging="360"/>
      </w:pPr>
      <w:rPr>
        <w:rFonts w:ascii="Symbol" w:hAnsi="Symbol" w:hint="default"/>
      </w:rPr>
    </w:lvl>
    <w:lvl w:ilvl="1" w:tplc="9CB2C9CC" w:tentative="1">
      <w:start w:val="1"/>
      <w:numFmt w:val="bullet"/>
      <w:lvlText w:val=""/>
      <w:lvlJc w:val="left"/>
      <w:pPr>
        <w:tabs>
          <w:tab w:val="num" w:pos="1440"/>
        </w:tabs>
        <w:ind w:left="1440" w:hanging="360"/>
      </w:pPr>
      <w:rPr>
        <w:rFonts w:ascii="Symbol" w:hAnsi="Symbol" w:hint="default"/>
      </w:rPr>
    </w:lvl>
    <w:lvl w:ilvl="2" w:tplc="3C1C5A70" w:tentative="1">
      <w:start w:val="1"/>
      <w:numFmt w:val="bullet"/>
      <w:lvlText w:val=""/>
      <w:lvlJc w:val="left"/>
      <w:pPr>
        <w:tabs>
          <w:tab w:val="num" w:pos="2160"/>
        </w:tabs>
        <w:ind w:left="2160" w:hanging="360"/>
      </w:pPr>
      <w:rPr>
        <w:rFonts w:ascii="Symbol" w:hAnsi="Symbol" w:hint="default"/>
      </w:rPr>
    </w:lvl>
    <w:lvl w:ilvl="3" w:tplc="F3F80FDE" w:tentative="1">
      <w:start w:val="1"/>
      <w:numFmt w:val="bullet"/>
      <w:lvlText w:val=""/>
      <w:lvlJc w:val="left"/>
      <w:pPr>
        <w:tabs>
          <w:tab w:val="num" w:pos="2880"/>
        </w:tabs>
        <w:ind w:left="2880" w:hanging="360"/>
      </w:pPr>
      <w:rPr>
        <w:rFonts w:ascii="Symbol" w:hAnsi="Symbol" w:hint="default"/>
      </w:rPr>
    </w:lvl>
    <w:lvl w:ilvl="4" w:tplc="2B141572" w:tentative="1">
      <w:start w:val="1"/>
      <w:numFmt w:val="bullet"/>
      <w:lvlText w:val=""/>
      <w:lvlJc w:val="left"/>
      <w:pPr>
        <w:tabs>
          <w:tab w:val="num" w:pos="3600"/>
        </w:tabs>
        <w:ind w:left="3600" w:hanging="360"/>
      </w:pPr>
      <w:rPr>
        <w:rFonts w:ascii="Symbol" w:hAnsi="Symbol" w:hint="default"/>
      </w:rPr>
    </w:lvl>
    <w:lvl w:ilvl="5" w:tplc="F314F334" w:tentative="1">
      <w:start w:val="1"/>
      <w:numFmt w:val="bullet"/>
      <w:lvlText w:val=""/>
      <w:lvlJc w:val="left"/>
      <w:pPr>
        <w:tabs>
          <w:tab w:val="num" w:pos="4320"/>
        </w:tabs>
        <w:ind w:left="4320" w:hanging="360"/>
      </w:pPr>
      <w:rPr>
        <w:rFonts w:ascii="Symbol" w:hAnsi="Symbol" w:hint="default"/>
      </w:rPr>
    </w:lvl>
    <w:lvl w:ilvl="6" w:tplc="D62C0C8E" w:tentative="1">
      <w:start w:val="1"/>
      <w:numFmt w:val="bullet"/>
      <w:lvlText w:val=""/>
      <w:lvlJc w:val="left"/>
      <w:pPr>
        <w:tabs>
          <w:tab w:val="num" w:pos="5040"/>
        </w:tabs>
        <w:ind w:left="5040" w:hanging="360"/>
      </w:pPr>
      <w:rPr>
        <w:rFonts w:ascii="Symbol" w:hAnsi="Symbol" w:hint="default"/>
      </w:rPr>
    </w:lvl>
    <w:lvl w:ilvl="7" w:tplc="19B23D4A" w:tentative="1">
      <w:start w:val="1"/>
      <w:numFmt w:val="bullet"/>
      <w:lvlText w:val=""/>
      <w:lvlJc w:val="left"/>
      <w:pPr>
        <w:tabs>
          <w:tab w:val="num" w:pos="5760"/>
        </w:tabs>
        <w:ind w:left="5760" w:hanging="360"/>
      </w:pPr>
      <w:rPr>
        <w:rFonts w:ascii="Symbol" w:hAnsi="Symbol" w:hint="default"/>
      </w:rPr>
    </w:lvl>
    <w:lvl w:ilvl="8" w:tplc="99FAA554"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3561787C"/>
    <w:multiLevelType w:val="hybridMultilevel"/>
    <w:tmpl w:val="F8C2BE24"/>
    <w:styleLink w:val="ImportierterStil2"/>
    <w:lvl w:ilvl="0" w:tplc="E72AE0E0">
      <w:start w:val="1"/>
      <w:numFmt w:val="bullet"/>
      <w:lvlText w:val="·"/>
      <w:lvlJc w:val="left"/>
      <w:pPr>
        <w:ind w:left="17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762A83BC">
      <w:start w:val="1"/>
      <w:numFmt w:val="bullet"/>
      <w:lvlText w:val="·"/>
      <w:lvlJc w:val="left"/>
      <w:pPr>
        <w:ind w:left="24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2520B762">
      <w:start w:val="1"/>
      <w:numFmt w:val="bullet"/>
      <w:lvlText w:val="·"/>
      <w:lvlJc w:val="left"/>
      <w:pPr>
        <w:ind w:left="31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9DE28BA6">
      <w:start w:val="1"/>
      <w:numFmt w:val="bullet"/>
      <w:lvlText w:val="·"/>
      <w:lvlJc w:val="left"/>
      <w:pPr>
        <w:ind w:left="38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CDB63E22">
      <w:start w:val="1"/>
      <w:numFmt w:val="bullet"/>
      <w:lvlText w:val="·"/>
      <w:lvlJc w:val="left"/>
      <w:pPr>
        <w:ind w:left="459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EF40F092">
      <w:start w:val="1"/>
      <w:numFmt w:val="bullet"/>
      <w:lvlText w:val="·"/>
      <w:lvlJc w:val="left"/>
      <w:pPr>
        <w:ind w:left="53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95567A56">
      <w:start w:val="1"/>
      <w:numFmt w:val="bullet"/>
      <w:lvlText w:val="·"/>
      <w:lvlJc w:val="left"/>
      <w:pPr>
        <w:ind w:left="60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000B9E0">
      <w:start w:val="1"/>
      <w:numFmt w:val="bullet"/>
      <w:lvlText w:val="·"/>
      <w:lvlJc w:val="left"/>
      <w:pPr>
        <w:ind w:left="67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5F0CCF0C">
      <w:start w:val="1"/>
      <w:numFmt w:val="bullet"/>
      <w:lvlText w:val="·"/>
      <w:lvlJc w:val="left"/>
      <w:pPr>
        <w:ind w:left="74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7" w15:restartNumberingAfterBreak="0">
    <w:nsid w:val="3A6D29B4"/>
    <w:multiLevelType w:val="hybridMultilevel"/>
    <w:tmpl w:val="9A461550"/>
    <w:numStyleLink w:val="ImportierterStil3"/>
  </w:abstractNum>
  <w:abstractNum w:abstractNumId="8" w15:restartNumberingAfterBreak="0">
    <w:nsid w:val="446E782B"/>
    <w:multiLevelType w:val="hybridMultilevel"/>
    <w:tmpl w:val="A478287E"/>
    <w:numStyleLink w:val="BulletK"/>
  </w:abstractNum>
  <w:abstractNum w:abstractNumId="9" w15:restartNumberingAfterBreak="0">
    <w:nsid w:val="4626638C"/>
    <w:multiLevelType w:val="hybridMultilevel"/>
    <w:tmpl w:val="48FC6CB2"/>
    <w:numStyleLink w:val="ImportierterStil6"/>
  </w:abstractNum>
  <w:abstractNum w:abstractNumId="10" w15:restartNumberingAfterBreak="0">
    <w:nsid w:val="529C6FA0"/>
    <w:multiLevelType w:val="hybridMultilevel"/>
    <w:tmpl w:val="2AC66378"/>
    <w:styleLink w:val="ImportierterStil4"/>
    <w:lvl w:ilvl="0" w:tplc="80443832">
      <w:start w:val="1"/>
      <w:numFmt w:val="bullet"/>
      <w:lvlText w:val="·"/>
      <w:lvlJc w:val="left"/>
      <w:pPr>
        <w:ind w:left="17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1D8E5798">
      <w:start w:val="1"/>
      <w:numFmt w:val="bullet"/>
      <w:lvlText w:val="·"/>
      <w:lvlJc w:val="left"/>
      <w:pPr>
        <w:ind w:left="24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81C1C7A">
      <w:start w:val="1"/>
      <w:numFmt w:val="bullet"/>
      <w:lvlText w:val="·"/>
      <w:lvlJc w:val="left"/>
      <w:pPr>
        <w:ind w:left="31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BACEF088">
      <w:start w:val="1"/>
      <w:numFmt w:val="bullet"/>
      <w:lvlText w:val="·"/>
      <w:lvlJc w:val="left"/>
      <w:pPr>
        <w:ind w:left="38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51382EE2">
      <w:start w:val="1"/>
      <w:numFmt w:val="bullet"/>
      <w:lvlText w:val="·"/>
      <w:lvlJc w:val="left"/>
      <w:pPr>
        <w:ind w:left="459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F8BA8CF0">
      <w:start w:val="1"/>
      <w:numFmt w:val="bullet"/>
      <w:lvlText w:val="·"/>
      <w:lvlJc w:val="left"/>
      <w:pPr>
        <w:ind w:left="53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C74151A">
      <w:start w:val="1"/>
      <w:numFmt w:val="bullet"/>
      <w:lvlText w:val="·"/>
      <w:lvlJc w:val="left"/>
      <w:pPr>
        <w:ind w:left="60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FD6233AC">
      <w:start w:val="1"/>
      <w:numFmt w:val="bullet"/>
      <w:lvlText w:val="·"/>
      <w:lvlJc w:val="left"/>
      <w:pPr>
        <w:ind w:left="67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C1709544">
      <w:start w:val="1"/>
      <w:numFmt w:val="bullet"/>
      <w:lvlText w:val="·"/>
      <w:lvlJc w:val="left"/>
      <w:pPr>
        <w:ind w:left="74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1" w15:restartNumberingAfterBreak="0">
    <w:nsid w:val="666B7405"/>
    <w:multiLevelType w:val="hybridMultilevel"/>
    <w:tmpl w:val="48FC6CB2"/>
    <w:styleLink w:val="ImportierterStil6"/>
    <w:lvl w:ilvl="0" w:tplc="62E41B18">
      <w:start w:val="1"/>
      <w:numFmt w:val="bullet"/>
      <w:lvlText w:val="·"/>
      <w:lvlJc w:val="left"/>
      <w:pPr>
        <w:ind w:left="17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10E67A0">
      <w:start w:val="1"/>
      <w:numFmt w:val="bullet"/>
      <w:lvlText w:val="·"/>
      <w:lvlJc w:val="left"/>
      <w:pPr>
        <w:ind w:left="24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0290A8C8">
      <w:start w:val="1"/>
      <w:numFmt w:val="bullet"/>
      <w:lvlText w:val="·"/>
      <w:lvlJc w:val="left"/>
      <w:pPr>
        <w:ind w:left="31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9AD8BE6C">
      <w:start w:val="1"/>
      <w:numFmt w:val="bullet"/>
      <w:lvlText w:val="·"/>
      <w:lvlJc w:val="left"/>
      <w:pPr>
        <w:ind w:left="38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EBD84688">
      <w:start w:val="1"/>
      <w:numFmt w:val="bullet"/>
      <w:lvlText w:val="·"/>
      <w:lvlJc w:val="left"/>
      <w:pPr>
        <w:ind w:left="459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504603BE">
      <w:start w:val="1"/>
      <w:numFmt w:val="bullet"/>
      <w:lvlText w:val="·"/>
      <w:lvlJc w:val="left"/>
      <w:pPr>
        <w:ind w:left="53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11A9182">
      <w:start w:val="1"/>
      <w:numFmt w:val="bullet"/>
      <w:lvlText w:val="·"/>
      <w:lvlJc w:val="left"/>
      <w:pPr>
        <w:ind w:left="60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BAEE7F0">
      <w:start w:val="1"/>
      <w:numFmt w:val="bullet"/>
      <w:lvlText w:val="·"/>
      <w:lvlJc w:val="left"/>
      <w:pPr>
        <w:ind w:left="67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363826">
      <w:start w:val="1"/>
      <w:numFmt w:val="bullet"/>
      <w:lvlText w:val="·"/>
      <w:lvlJc w:val="left"/>
      <w:pPr>
        <w:ind w:left="74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num w:numId="1" w16cid:durableId="251400424">
    <w:abstractNumId w:val="4"/>
  </w:num>
  <w:num w:numId="2" w16cid:durableId="2126339718">
    <w:abstractNumId w:val="8"/>
  </w:num>
  <w:num w:numId="3" w16cid:durableId="1253006470">
    <w:abstractNumId w:val="10"/>
  </w:num>
  <w:num w:numId="4" w16cid:durableId="1489519833">
    <w:abstractNumId w:val="2"/>
  </w:num>
  <w:num w:numId="5" w16cid:durableId="2044330418">
    <w:abstractNumId w:val="6"/>
  </w:num>
  <w:num w:numId="6" w16cid:durableId="351807323">
    <w:abstractNumId w:val="1"/>
  </w:num>
  <w:num w:numId="7" w16cid:durableId="1721709695">
    <w:abstractNumId w:val="11"/>
  </w:num>
  <w:num w:numId="8" w16cid:durableId="9336799">
    <w:abstractNumId w:val="9"/>
  </w:num>
  <w:num w:numId="9" w16cid:durableId="924722812">
    <w:abstractNumId w:val="0"/>
  </w:num>
  <w:num w:numId="10" w16cid:durableId="1759056243">
    <w:abstractNumId w:val="7"/>
  </w:num>
  <w:num w:numId="11" w16cid:durableId="898200721">
    <w:abstractNumId w:val="3"/>
  </w:num>
  <w:num w:numId="12" w16cid:durableId="64956129">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544"/>
    <w:rsid w:val="00004048"/>
    <w:rsid w:val="00014099"/>
    <w:rsid w:val="00014DCC"/>
    <w:rsid w:val="000357D2"/>
    <w:rsid w:val="00057CA6"/>
    <w:rsid w:val="000757F2"/>
    <w:rsid w:val="00086231"/>
    <w:rsid w:val="000946BA"/>
    <w:rsid w:val="000C5862"/>
    <w:rsid w:val="000D2F87"/>
    <w:rsid w:val="000D5CEF"/>
    <w:rsid w:val="000F19BF"/>
    <w:rsid w:val="0010488E"/>
    <w:rsid w:val="00106F92"/>
    <w:rsid w:val="00110E8A"/>
    <w:rsid w:val="00114F5F"/>
    <w:rsid w:val="00127C76"/>
    <w:rsid w:val="0013106D"/>
    <w:rsid w:val="0013254B"/>
    <w:rsid w:val="00134CFA"/>
    <w:rsid w:val="00142095"/>
    <w:rsid w:val="00154C09"/>
    <w:rsid w:val="001550E7"/>
    <w:rsid w:val="00156FAD"/>
    <w:rsid w:val="00161253"/>
    <w:rsid w:val="001914FF"/>
    <w:rsid w:val="001A4E4B"/>
    <w:rsid w:val="001A613E"/>
    <w:rsid w:val="001C091B"/>
    <w:rsid w:val="001C3648"/>
    <w:rsid w:val="001D2775"/>
    <w:rsid w:val="001E1DAE"/>
    <w:rsid w:val="001E6F74"/>
    <w:rsid w:val="001F21B7"/>
    <w:rsid w:val="001F2302"/>
    <w:rsid w:val="001F6B44"/>
    <w:rsid w:val="002010E2"/>
    <w:rsid w:val="002164D6"/>
    <w:rsid w:val="00225A00"/>
    <w:rsid w:val="00227E8F"/>
    <w:rsid w:val="0026275B"/>
    <w:rsid w:val="002777F0"/>
    <w:rsid w:val="00277EF1"/>
    <w:rsid w:val="00286211"/>
    <w:rsid w:val="0028658D"/>
    <w:rsid w:val="00292E3D"/>
    <w:rsid w:val="002944DE"/>
    <w:rsid w:val="002944F4"/>
    <w:rsid w:val="00295D2E"/>
    <w:rsid w:val="002A2BC4"/>
    <w:rsid w:val="002A3C62"/>
    <w:rsid w:val="002A7E3A"/>
    <w:rsid w:val="002B160E"/>
    <w:rsid w:val="002B16A2"/>
    <w:rsid w:val="00303229"/>
    <w:rsid w:val="00311257"/>
    <w:rsid w:val="00312DEC"/>
    <w:rsid w:val="003133E2"/>
    <w:rsid w:val="00320300"/>
    <w:rsid w:val="003349F8"/>
    <w:rsid w:val="003427A6"/>
    <w:rsid w:val="00343D9B"/>
    <w:rsid w:val="003457C4"/>
    <w:rsid w:val="00354CDB"/>
    <w:rsid w:val="00361FA0"/>
    <w:rsid w:val="00367186"/>
    <w:rsid w:val="0037677E"/>
    <w:rsid w:val="003C0FB8"/>
    <w:rsid w:val="003C7049"/>
    <w:rsid w:val="003D0381"/>
    <w:rsid w:val="003D4B66"/>
    <w:rsid w:val="003D525B"/>
    <w:rsid w:val="003E4402"/>
    <w:rsid w:val="003F3B41"/>
    <w:rsid w:val="0040558D"/>
    <w:rsid w:val="004216C7"/>
    <w:rsid w:val="00452256"/>
    <w:rsid w:val="00455C15"/>
    <w:rsid w:val="00470BD7"/>
    <w:rsid w:val="004824D9"/>
    <w:rsid w:val="00483999"/>
    <w:rsid w:val="00493889"/>
    <w:rsid w:val="004A1330"/>
    <w:rsid w:val="004A53CB"/>
    <w:rsid w:val="004D3FE7"/>
    <w:rsid w:val="004F583F"/>
    <w:rsid w:val="00510009"/>
    <w:rsid w:val="005173C3"/>
    <w:rsid w:val="00522668"/>
    <w:rsid w:val="00530B25"/>
    <w:rsid w:val="005409B8"/>
    <w:rsid w:val="00541C18"/>
    <w:rsid w:val="00544614"/>
    <w:rsid w:val="00546F0A"/>
    <w:rsid w:val="005513FF"/>
    <w:rsid w:val="00563BBB"/>
    <w:rsid w:val="00583669"/>
    <w:rsid w:val="005907A0"/>
    <w:rsid w:val="005A0974"/>
    <w:rsid w:val="005A650F"/>
    <w:rsid w:val="005C5A34"/>
    <w:rsid w:val="005D7649"/>
    <w:rsid w:val="0061173D"/>
    <w:rsid w:val="00611A54"/>
    <w:rsid w:val="00611B3B"/>
    <w:rsid w:val="00617C9B"/>
    <w:rsid w:val="00630A83"/>
    <w:rsid w:val="006313B1"/>
    <w:rsid w:val="0063729D"/>
    <w:rsid w:val="00640A30"/>
    <w:rsid w:val="006432B4"/>
    <w:rsid w:val="00655C1F"/>
    <w:rsid w:val="006562CC"/>
    <w:rsid w:val="00657E88"/>
    <w:rsid w:val="006639F7"/>
    <w:rsid w:val="00667DEC"/>
    <w:rsid w:val="00670447"/>
    <w:rsid w:val="00671176"/>
    <w:rsid w:val="006A0A11"/>
    <w:rsid w:val="006A13DB"/>
    <w:rsid w:val="006A1EC7"/>
    <w:rsid w:val="006A4D2A"/>
    <w:rsid w:val="006B7CBF"/>
    <w:rsid w:val="006C5851"/>
    <w:rsid w:val="006E4F90"/>
    <w:rsid w:val="006F57F0"/>
    <w:rsid w:val="006F5AD0"/>
    <w:rsid w:val="006F7F17"/>
    <w:rsid w:val="00713B6F"/>
    <w:rsid w:val="00723E13"/>
    <w:rsid w:val="00742299"/>
    <w:rsid w:val="0076667F"/>
    <w:rsid w:val="00772B3B"/>
    <w:rsid w:val="00782DBF"/>
    <w:rsid w:val="007D125D"/>
    <w:rsid w:val="007E4D1D"/>
    <w:rsid w:val="007F77A5"/>
    <w:rsid w:val="008008C7"/>
    <w:rsid w:val="008209CA"/>
    <w:rsid w:val="00825F7B"/>
    <w:rsid w:val="00826CAC"/>
    <w:rsid w:val="008401B7"/>
    <w:rsid w:val="00843781"/>
    <w:rsid w:val="008576D7"/>
    <w:rsid w:val="008614B0"/>
    <w:rsid w:val="008623C0"/>
    <w:rsid w:val="00875741"/>
    <w:rsid w:val="00882AFF"/>
    <w:rsid w:val="008A13F5"/>
    <w:rsid w:val="008C1624"/>
    <w:rsid w:val="008C6841"/>
    <w:rsid w:val="008D1866"/>
    <w:rsid w:val="008D7512"/>
    <w:rsid w:val="009015AC"/>
    <w:rsid w:val="009054AE"/>
    <w:rsid w:val="00930ACC"/>
    <w:rsid w:val="00940707"/>
    <w:rsid w:val="00955720"/>
    <w:rsid w:val="009632BF"/>
    <w:rsid w:val="00977697"/>
    <w:rsid w:val="009A0C83"/>
    <w:rsid w:val="009B70AB"/>
    <w:rsid w:val="009C2B5B"/>
    <w:rsid w:val="009C40B3"/>
    <w:rsid w:val="009C578B"/>
    <w:rsid w:val="009C6E6D"/>
    <w:rsid w:val="009C7C30"/>
    <w:rsid w:val="009D42A7"/>
    <w:rsid w:val="009E61EC"/>
    <w:rsid w:val="009F3BF4"/>
    <w:rsid w:val="009F4820"/>
    <w:rsid w:val="00A163F5"/>
    <w:rsid w:val="00A45788"/>
    <w:rsid w:val="00A50983"/>
    <w:rsid w:val="00A6059D"/>
    <w:rsid w:val="00A642F3"/>
    <w:rsid w:val="00A71E6B"/>
    <w:rsid w:val="00A7645E"/>
    <w:rsid w:val="00A953D2"/>
    <w:rsid w:val="00AD0718"/>
    <w:rsid w:val="00AD5484"/>
    <w:rsid w:val="00AD6CA9"/>
    <w:rsid w:val="00AE6304"/>
    <w:rsid w:val="00AF063F"/>
    <w:rsid w:val="00AF46FF"/>
    <w:rsid w:val="00B00978"/>
    <w:rsid w:val="00B0682D"/>
    <w:rsid w:val="00B07E07"/>
    <w:rsid w:val="00B22B16"/>
    <w:rsid w:val="00B27659"/>
    <w:rsid w:val="00B42701"/>
    <w:rsid w:val="00B46DA9"/>
    <w:rsid w:val="00B750B3"/>
    <w:rsid w:val="00B81B36"/>
    <w:rsid w:val="00B82A02"/>
    <w:rsid w:val="00B8430B"/>
    <w:rsid w:val="00B87DAE"/>
    <w:rsid w:val="00B90501"/>
    <w:rsid w:val="00BA7B3F"/>
    <w:rsid w:val="00BB5544"/>
    <w:rsid w:val="00BC34E6"/>
    <w:rsid w:val="00BD5DB1"/>
    <w:rsid w:val="00BD714B"/>
    <w:rsid w:val="00BE37B5"/>
    <w:rsid w:val="00BE6A03"/>
    <w:rsid w:val="00BF0447"/>
    <w:rsid w:val="00C02508"/>
    <w:rsid w:val="00C10FAF"/>
    <w:rsid w:val="00C11B1F"/>
    <w:rsid w:val="00C239C4"/>
    <w:rsid w:val="00C257F8"/>
    <w:rsid w:val="00C44C9C"/>
    <w:rsid w:val="00C47E58"/>
    <w:rsid w:val="00C50A23"/>
    <w:rsid w:val="00C521C3"/>
    <w:rsid w:val="00C54292"/>
    <w:rsid w:val="00C74F12"/>
    <w:rsid w:val="00C75B0F"/>
    <w:rsid w:val="00CA5171"/>
    <w:rsid w:val="00CB34E6"/>
    <w:rsid w:val="00CB7D3C"/>
    <w:rsid w:val="00CC287B"/>
    <w:rsid w:val="00CC2F03"/>
    <w:rsid w:val="00CC4850"/>
    <w:rsid w:val="00CD5BB4"/>
    <w:rsid w:val="00D10D8F"/>
    <w:rsid w:val="00D13F4E"/>
    <w:rsid w:val="00D25852"/>
    <w:rsid w:val="00D407EB"/>
    <w:rsid w:val="00D40BF5"/>
    <w:rsid w:val="00D43E47"/>
    <w:rsid w:val="00D52046"/>
    <w:rsid w:val="00D547C0"/>
    <w:rsid w:val="00DA47A4"/>
    <w:rsid w:val="00DD7947"/>
    <w:rsid w:val="00E00AC0"/>
    <w:rsid w:val="00E04DBB"/>
    <w:rsid w:val="00E06E93"/>
    <w:rsid w:val="00E202EA"/>
    <w:rsid w:val="00E25D99"/>
    <w:rsid w:val="00E277B7"/>
    <w:rsid w:val="00E3477F"/>
    <w:rsid w:val="00E34BAE"/>
    <w:rsid w:val="00E47D52"/>
    <w:rsid w:val="00E57D42"/>
    <w:rsid w:val="00E72677"/>
    <w:rsid w:val="00EB264F"/>
    <w:rsid w:val="00ED4A2F"/>
    <w:rsid w:val="00F111F8"/>
    <w:rsid w:val="00F13F57"/>
    <w:rsid w:val="00F178B7"/>
    <w:rsid w:val="00F2759A"/>
    <w:rsid w:val="00F34607"/>
    <w:rsid w:val="00F34D93"/>
    <w:rsid w:val="00F63CC0"/>
    <w:rsid w:val="00F64C9F"/>
    <w:rsid w:val="00F72AB9"/>
    <w:rsid w:val="00F779E9"/>
    <w:rsid w:val="00F8548E"/>
    <w:rsid w:val="00F939B5"/>
    <w:rsid w:val="00FB0956"/>
    <w:rsid w:val="00FC4158"/>
    <w:rsid w:val="00FC477C"/>
    <w:rsid w:val="00FC751D"/>
    <w:rsid w:val="00FD1173"/>
    <w:rsid w:val="00FF5C5B"/>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4049AD"/>
  <w15:docId w15:val="{1EF204C2-6FDD-4E08-80AC-53B9F018B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de-AT" w:eastAsia="de-A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tabs>
        <w:tab w:val="left" w:pos="170"/>
      </w:tabs>
    </w:pPr>
    <w:rPr>
      <w:rFonts w:ascii="Lucida Sans Unicode" w:eastAsia="Lucida Sans Unicode" w:hAnsi="Lucida Sans Unicode" w:cs="Lucida Sans Unicode"/>
      <w:color w:val="000000"/>
      <w:sz w:val="16"/>
      <w:szCs w:val="16"/>
      <w:u w:color="000000"/>
      <w:lang w:val="en-US"/>
      <w14:textOutline w14:w="0" w14:cap="flat" w14:cmpd="sng" w14:algn="ctr">
        <w14:noFill/>
        <w14:prstDash w14:val="solid"/>
        <w14:bevel/>
      </w14:textOutline>
    </w:rPr>
  </w:style>
  <w:style w:type="paragraph" w:styleId="berschrift6">
    <w:name w:val="heading 6"/>
    <w:basedOn w:val="Standard"/>
    <w:next w:val="Standard"/>
    <w:link w:val="berschrift6Zchn"/>
    <w:uiPriority w:val="9"/>
    <w:semiHidden/>
    <w:unhideWhenUsed/>
    <w:qFormat/>
    <w:rsid w:val="00742299"/>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170"/>
      </w:tabs>
      <w:spacing w:before="40" w:line="278" w:lineRule="auto"/>
      <w:outlineLvl w:val="5"/>
    </w:pPr>
    <w:rPr>
      <w:rFonts w:asciiTheme="minorHAnsi" w:eastAsiaTheme="majorEastAsia" w:hAnsiTheme="minorHAnsi" w:cstheme="majorBidi"/>
      <w:i/>
      <w:iCs/>
      <w:color w:val="595959" w:themeColor="text1" w:themeTint="A6"/>
      <w:kern w:val="2"/>
      <w:sz w:val="24"/>
      <w:szCs w:val="24"/>
      <w:bdr w:val="none" w:sz="0" w:space="0" w:color="auto"/>
      <w:lang w:val="de-DE" w:eastAsia="en-US"/>
      <w14:textOutline w14:w="0" w14:cap="rnd" w14:cmpd="sng" w14:algn="ctr">
        <w14:noFill/>
        <w14:prstDash w14:val="solid"/>
        <w14:bevel/>
      </w14:textOutline>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BodyK">
    <w:name w:val="Body K"/>
    <w:pPr>
      <w:ind w:left="993"/>
    </w:pPr>
    <w:rPr>
      <w:rFonts w:ascii="Lucida Sans Unicode" w:eastAsia="Lucida Sans Unicode" w:hAnsi="Lucida Sans Unicode" w:cs="Lucida Sans Unicode"/>
      <w:color w:val="000000"/>
      <w:sz w:val="24"/>
      <w:szCs w:val="24"/>
      <w:u w:color="000000"/>
      <w:lang w:val="de-DE"/>
      <w14:textOutline w14:w="0" w14:cap="flat" w14:cmpd="sng" w14:algn="ctr">
        <w14:noFill/>
        <w14:prstDash w14:val="solid"/>
        <w14:bevel/>
      </w14:textOutline>
    </w:rPr>
  </w:style>
  <w:style w:type="paragraph" w:customStyle="1" w:styleId="SubheadK">
    <w:name w:val="Subhead K"/>
    <w:pPr>
      <w:ind w:left="993"/>
    </w:pPr>
    <w:rPr>
      <w:rFonts w:ascii="Lucida Sans Unicode" w:eastAsia="Lucida Sans Unicode" w:hAnsi="Lucida Sans Unicode" w:cs="Lucida Sans Unicode"/>
      <w:b/>
      <w:bCs/>
      <w:color w:val="C0167B"/>
      <w:sz w:val="48"/>
      <w:szCs w:val="48"/>
      <w:u w:color="C0167B"/>
      <w:lang w:val="de-DE"/>
      <w14:textOutline w14:w="0" w14:cap="flat" w14:cmpd="sng" w14:algn="ctr">
        <w14:noFill/>
        <w14:prstDash w14:val="solid"/>
        <w14:bevel/>
      </w14:textOutline>
    </w:rPr>
  </w:style>
  <w:style w:type="paragraph" w:customStyle="1" w:styleId="TitleK">
    <w:name w:val="Title K"/>
    <w:pPr>
      <w:tabs>
        <w:tab w:val="left" w:pos="170"/>
      </w:tabs>
      <w:spacing w:line="780" w:lineRule="exact"/>
      <w:ind w:left="993" w:right="417"/>
      <w:outlineLvl w:val="0"/>
    </w:pPr>
    <w:rPr>
      <w:rFonts w:ascii="Lucida Sans Unicode" w:eastAsia="Lucida Sans Unicode" w:hAnsi="Lucida Sans Unicode" w:cs="Lucida Sans Unicode"/>
      <w:b/>
      <w:bCs/>
      <w:color w:val="0062C2"/>
      <w:kern w:val="28"/>
      <w:sz w:val="72"/>
      <w:szCs w:val="72"/>
      <w:u w:color="0062C2"/>
      <w:lang w:val="de-DE"/>
      <w14:textOutline w14:w="0" w14:cap="flat" w14:cmpd="sng" w14:algn="ctr">
        <w14:noFill/>
        <w14:prstDash w14:val="solid"/>
        <w14:bevel/>
      </w14:textOutline>
    </w:rPr>
  </w:style>
  <w:style w:type="paragraph" w:customStyle="1" w:styleId="SubsubheadK">
    <w:name w:val="Subsubhead K"/>
    <w:pPr>
      <w:ind w:left="993"/>
    </w:pPr>
    <w:rPr>
      <w:rFonts w:ascii="Lucida Sans Unicode" w:eastAsia="Lucida Sans Unicode" w:hAnsi="Lucida Sans Unicode" w:cs="Lucida Sans Unicode"/>
      <w:b/>
      <w:bCs/>
      <w:color w:val="0062C2"/>
      <w:sz w:val="28"/>
      <w:szCs w:val="28"/>
      <w:u w:color="0062C2"/>
      <w:lang w:val="de-DE"/>
      <w14:textOutline w14:w="0" w14:cap="flat" w14:cmpd="sng" w14:algn="ctr">
        <w14:noFill/>
        <w14:prstDash w14:val="solid"/>
        <w14:bevel/>
      </w14:textOutline>
    </w:rPr>
  </w:style>
  <w:style w:type="paragraph" w:customStyle="1" w:styleId="DatumK">
    <w:name w:val="Datum K"/>
    <w:pPr>
      <w:spacing w:before="120" w:after="120"/>
      <w:ind w:left="993" w:right="417"/>
    </w:pPr>
    <w:rPr>
      <w:rFonts w:ascii="Lucida Sans Unicode" w:eastAsia="Lucida Sans Unicode" w:hAnsi="Lucida Sans Unicode" w:cs="Lucida Sans Unicode"/>
      <w:b/>
      <w:bCs/>
      <w:color w:val="0062C2"/>
      <w:sz w:val="24"/>
      <w:szCs w:val="24"/>
      <w:u w:color="0062C2"/>
      <w:lang w:val="de-DE"/>
      <w14:textOutline w14:w="0" w14:cap="flat" w14:cmpd="sng" w14:algn="ctr">
        <w14:noFill/>
        <w14:prstDash w14:val="solid"/>
        <w14:bevel/>
      </w14:textOutline>
    </w:rPr>
  </w:style>
  <w:style w:type="paragraph" w:customStyle="1" w:styleId="BodyBoldK">
    <w:name w:val="Body Bold K"/>
    <w:pPr>
      <w:tabs>
        <w:tab w:val="left" w:pos="170"/>
      </w:tabs>
      <w:ind w:left="993"/>
    </w:pPr>
    <w:rPr>
      <w:rFonts w:ascii="Lucida Sans Unicode" w:eastAsia="Lucida Sans Unicode" w:hAnsi="Lucida Sans Unicode" w:cs="Lucida Sans Unicode"/>
      <w:b/>
      <w:bCs/>
      <w:color w:val="000000"/>
      <w:sz w:val="24"/>
      <w:szCs w:val="24"/>
      <w:u w:color="000000"/>
      <w:lang w:val="de-DE"/>
      <w14:textOutline w14:w="0" w14:cap="flat" w14:cmpd="sng" w14:algn="ctr">
        <w14:noFill/>
        <w14:prstDash w14:val="solid"/>
        <w14:bevel/>
      </w14:textOutline>
    </w:rPr>
  </w:style>
  <w:style w:type="character" w:customStyle="1" w:styleId="Link">
    <w:name w:val="Link"/>
    <w:rPr>
      <w:outline w:val="0"/>
      <w:color w:val="000000"/>
      <w:u w:val="none" w:color="000000"/>
    </w:rPr>
  </w:style>
  <w:style w:type="character" w:customStyle="1" w:styleId="Hyperlink0">
    <w:name w:val="Hyperlink.0"/>
    <w:basedOn w:val="Link"/>
    <w:rPr>
      <w:outline w:val="0"/>
      <w:color w:val="000000"/>
      <w:sz w:val="24"/>
      <w:szCs w:val="24"/>
      <w:u w:val="none" w:color="000000"/>
      <w:lang w:val="de-DE"/>
    </w:rPr>
  </w:style>
  <w:style w:type="character" w:customStyle="1" w:styleId="Ohne">
    <w:name w:val="Ohne"/>
  </w:style>
  <w:style w:type="character" w:customStyle="1" w:styleId="Hyperlink1">
    <w:name w:val="Hyperlink.1"/>
    <w:basedOn w:val="Ohne"/>
    <w:rPr>
      <w:outline w:val="0"/>
      <w:color w:val="0062C2"/>
      <w:sz w:val="24"/>
      <w:szCs w:val="24"/>
      <w:u w:color="0062C2"/>
      <w:lang w:val="en-US"/>
    </w:rPr>
  </w:style>
  <w:style w:type="paragraph" w:customStyle="1" w:styleId="BodyBulletK">
    <w:name w:val="Body Bullet K"/>
    <w:pPr>
      <w:tabs>
        <w:tab w:val="left" w:pos="720"/>
      </w:tabs>
      <w:spacing w:after="160" w:line="278" w:lineRule="auto"/>
      <w:ind w:left="992"/>
    </w:pPr>
    <w:rPr>
      <w:rFonts w:ascii="Lucida Sans Unicode" w:eastAsia="Lucida Sans Unicode" w:hAnsi="Lucida Sans Unicode" w:cs="Lucida Sans Unicode"/>
      <w:color w:val="000000"/>
      <w:kern w:val="2"/>
      <w:sz w:val="24"/>
      <w:szCs w:val="24"/>
      <w:u w:color="000000"/>
      <w:lang w:val="de-DE"/>
      <w14:textOutline w14:w="0" w14:cap="flat" w14:cmpd="sng" w14:algn="ctr">
        <w14:noFill/>
        <w14:prstDash w14:val="solid"/>
        <w14:bevel/>
      </w14:textOutline>
    </w:rPr>
  </w:style>
  <w:style w:type="numbering" w:customStyle="1" w:styleId="BulletK">
    <w:name w:val="Bullet K"/>
    <w:pPr>
      <w:numPr>
        <w:numId w:val="1"/>
      </w:numPr>
    </w:pPr>
  </w:style>
  <w:style w:type="numbering" w:customStyle="1" w:styleId="ImportierterStil4">
    <w:name w:val="Importierter Stil: 4"/>
    <w:pPr>
      <w:numPr>
        <w:numId w:val="3"/>
      </w:numPr>
    </w:pPr>
  </w:style>
  <w:style w:type="numbering" w:customStyle="1" w:styleId="ImportierterStil2">
    <w:name w:val="Importierter Stil: 2"/>
    <w:pPr>
      <w:numPr>
        <w:numId w:val="5"/>
      </w:numPr>
    </w:pPr>
  </w:style>
  <w:style w:type="numbering" w:customStyle="1" w:styleId="ImportierterStil6">
    <w:name w:val="Importierter Stil: 6"/>
    <w:pPr>
      <w:numPr>
        <w:numId w:val="7"/>
      </w:numPr>
    </w:pPr>
  </w:style>
  <w:style w:type="numbering" w:customStyle="1" w:styleId="ImportierterStil3">
    <w:name w:val="Importierter Stil: 3"/>
    <w:pPr>
      <w:numPr>
        <w:numId w:val="9"/>
      </w:numPr>
    </w:pPr>
  </w:style>
  <w:style w:type="character" w:customStyle="1" w:styleId="Hyperlink2">
    <w:name w:val="Hyperlink.2"/>
    <w:basedOn w:val="Link"/>
    <w:rPr>
      <w:rFonts w:ascii="Lucida Sans Unicode" w:eastAsia="Lucida Sans Unicode" w:hAnsi="Lucida Sans Unicode" w:cs="Lucida Sans Unicode"/>
      <w:outline w:val="0"/>
      <w:color w:val="467886"/>
      <w:u w:val="single" w:color="467886"/>
    </w:rPr>
  </w:style>
  <w:style w:type="paragraph" w:styleId="Kopfzeile">
    <w:name w:val="header"/>
    <w:basedOn w:val="Standard"/>
    <w:link w:val="KopfzeileZchn"/>
    <w:uiPriority w:val="99"/>
    <w:unhideWhenUsed/>
    <w:rsid w:val="001A613E"/>
    <w:pPr>
      <w:tabs>
        <w:tab w:val="clear" w:pos="170"/>
        <w:tab w:val="center" w:pos="4536"/>
        <w:tab w:val="right" w:pos="9072"/>
      </w:tabs>
    </w:pPr>
  </w:style>
  <w:style w:type="character" w:customStyle="1" w:styleId="KopfzeileZchn">
    <w:name w:val="Kopfzeile Zchn"/>
    <w:basedOn w:val="Absatz-Standardschriftart"/>
    <w:link w:val="Kopfzeile"/>
    <w:uiPriority w:val="99"/>
    <w:rsid w:val="001A613E"/>
    <w:rPr>
      <w:rFonts w:ascii="Lucida Sans Unicode" w:eastAsia="Lucida Sans Unicode" w:hAnsi="Lucida Sans Unicode" w:cs="Lucida Sans Unicode"/>
      <w:color w:val="000000"/>
      <w:sz w:val="16"/>
      <w:szCs w:val="16"/>
      <w:u w:color="000000"/>
      <w:lang w:val="en-US"/>
      <w14:textOutline w14:w="0" w14:cap="flat" w14:cmpd="sng" w14:algn="ctr">
        <w14:noFill/>
        <w14:prstDash w14:val="solid"/>
        <w14:bevel/>
      </w14:textOutline>
    </w:rPr>
  </w:style>
  <w:style w:type="paragraph" w:styleId="Fuzeile">
    <w:name w:val="footer"/>
    <w:basedOn w:val="Standard"/>
    <w:link w:val="FuzeileZchn"/>
    <w:uiPriority w:val="99"/>
    <w:unhideWhenUsed/>
    <w:rsid w:val="001A613E"/>
    <w:pPr>
      <w:tabs>
        <w:tab w:val="clear" w:pos="170"/>
        <w:tab w:val="center" w:pos="4536"/>
        <w:tab w:val="right" w:pos="9072"/>
      </w:tabs>
    </w:pPr>
  </w:style>
  <w:style w:type="character" w:customStyle="1" w:styleId="FuzeileZchn">
    <w:name w:val="Fußzeile Zchn"/>
    <w:basedOn w:val="Absatz-Standardschriftart"/>
    <w:link w:val="Fuzeile"/>
    <w:uiPriority w:val="99"/>
    <w:rsid w:val="001A613E"/>
    <w:rPr>
      <w:rFonts w:ascii="Lucida Sans Unicode" w:eastAsia="Lucida Sans Unicode" w:hAnsi="Lucida Sans Unicode" w:cs="Lucida Sans Unicode"/>
      <w:color w:val="000000"/>
      <w:sz w:val="16"/>
      <w:szCs w:val="16"/>
      <w:u w:color="000000"/>
      <w:lang w:val="en-US"/>
      <w14:textOutline w14:w="0" w14:cap="flat" w14:cmpd="sng" w14:algn="ctr">
        <w14:noFill/>
        <w14:prstDash w14:val="solid"/>
        <w14:bevel/>
      </w14:textOutline>
    </w:rPr>
  </w:style>
  <w:style w:type="paragraph" w:styleId="StandardWeb">
    <w:name w:val="Normal (Web)"/>
    <w:basedOn w:val="Standard"/>
    <w:uiPriority w:val="99"/>
    <w:unhideWhenUsed/>
    <w:rsid w:val="00014DCC"/>
    <w:pPr>
      <w:pBdr>
        <w:top w:val="none" w:sz="0" w:space="0" w:color="auto"/>
        <w:left w:val="none" w:sz="0" w:space="0" w:color="auto"/>
        <w:bottom w:val="none" w:sz="0" w:space="0" w:color="auto"/>
        <w:right w:val="none" w:sz="0" w:space="0" w:color="auto"/>
        <w:between w:val="none" w:sz="0" w:space="0" w:color="auto"/>
        <w:bar w:val="none" w:sz="0" w:color="auto"/>
      </w:pBdr>
      <w:tabs>
        <w:tab w:val="clear" w:pos="170"/>
      </w:tabs>
      <w:spacing w:before="100" w:beforeAutospacing="1" w:after="100" w:afterAutospacing="1"/>
    </w:pPr>
    <w:rPr>
      <w:rFonts w:ascii="Times New Roman" w:eastAsiaTheme="minorEastAsia" w:hAnsi="Times New Roman" w:cs="Times New Roman"/>
      <w:color w:val="auto"/>
      <w:sz w:val="24"/>
      <w:szCs w:val="24"/>
      <w:bdr w:val="none" w:sz="0" w:space="0" w:color="auto"/>
      <w:lang w:val="de-DE" w:eastAsia="ja-JP"/>
      <w14:textOutline w14:w="0" w14:cap="rnd" w14:cmpd="sng" w14:algn="ctr">
        <w14:noFill/>
        <w14:prstDash w14:val="solid"/>
        <w14:bevel/>
      </w14:textOutline>
    </w:rPr>
  </w:style>
  <w:style w:type="character" w:customStyle="1" w:styleId="apple-converted-space">
    <w:name w:val="apple-converted-space"/>
    <w:basedOn w:val="Absatz-Standardschriftart"/>
    <w:rsid w:val="00014DCC"/>
  </w:style>
  <w:style w:type="character" w:styleId="NichtaufgelsteErwhnung">
    <w:name w:val="Unresolved Mention"/>
    <w:basedOn w:val="Absatz-Standardschriftart"/>
    <w:uiPriority w:val="99"/>
    <w:semiHidden/>
    <w:unhideWhenUsed/>
    <w:rsid w:val="00E00AC0"/>
    <w:rPr>
      <w:color w:val="605E5C"/>
      <w:shd w:val="clear" w:color="auto" w:fill="E1DFDD"/>
    </w:rPr>
  </w:style>
  <w:style w:type="paragraph" w:styleId="Textkrper">
    <w:name w:val="Body Text"/>
    <w:basedOn w:val="Standard"/>
    <w:link w:val="TextkrperZchn"/>
    <w:qFormat/>
    <w:rsid w:val="003D4B66"/>
    <w:pPr>
      <w:pBdr>
        <w:top w:val="none" w:sz="0" w:space="0" w:color="auto"/>
        <w:left w:val="none" w:sz="0" w:space="0" w:color="auto"/>
        <w:bottom w:val="none" w:sz="0" w:space="0" w:color="auto"/>
        <w:right w:val="none" w:sz="0" w:space="0" w:color="auto"/>
        <w:between w:val="none" w:sz="0" w:space="0" w:color="auto"/>
        <w:bar w:val="none" w:sz="0" w:color="auto"/>
      </w:pBdr>
      <w:tabs>
        <w:tab w:val="clear" w:pos="170"/>
      </w:tabs>
      <w:spacing w:before="180" w:after="180"/>
    </w:pPr>
    <w:rPr>
      <w:rFonts w:asciiTheme="minorHAnsi" w:eastAsiaTheme="minorHAnsi" w:hAnsiTheme="minorHAnsi" w:cstheme="minorBidi"/>
      <w:color w:val="auto"/>
      <w:sz w:val="24"/>
      <w:szCs w:val="24"/>
      <w:bdr w:val="none" w:sz="0" w:space="0" w:color="auto"/>
      <w:lang w:eastAsia="en-US"/>
      <w14:textOutline w14:w="0" w14:cap="rnd" w14:cmpd="sng" w14:algn="ctr">
        <w14:noFill/>
        <w14:prstDash w14:val="solid"/>
        <w14:bevel/>
      </w14:textOutline>
    </w:rPr>
  </w:style>
  <w:style w:type="character" w:customStyle="1" w:styleId="TextkrperZchn">
    <w:name w:val="Textkörper Zchn"/>
    <w:basedOn w:val="Absatz-Standardschriftart"/>
    <w:link w:val="Textkrper"/>
    <w:rsid w:val="003D4B66"/>
    <w:rPr>
      <w:rFonts w:asciiTheme="minorHAnsi" w:eastAsiaTheme="minorHAnsi" w:hAnsiTheme="minorHAnsi" w:cstheme="minorBidi"/>
      <w:sz w:val="24"/>
      <w:szCs w:val="24"/>
      <w:bdr w:val="none" w:sz="0" w:space="0" w:color="auto"/>
      <w:lang w:val="en-US" w:eastAsia="en-US"/>
    </w:rPr>
  </w:style>
  <w:style w:type="paragraph" w:styleId="Untertitel">
    <w:name w:val="Subtitle"/>
    <w:basedOn w:val="Standard"/>
    <w:next w:val="Standard"/>
    <w:link w:val="UntertitelZchn"/>
    <w:uiPriority w:val="11"/>
    <w:qFormat/>
    <w:rsid w:val="00FF5C5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tertitelZchn">
    <w:name w:val="Untertitel Zchn"/>
    <w:basedOn w:val="Absatz-Standardschriftart"/>
    <w:link w:val="Untertitel"/>
    <w:uiPriority w:val="11"/>
    <w:rsid w:val="00FF5C5B"/>
    <w:rPr>
      <w:rFonts w:asciiTheme="minorHAnsi" w:eastAsiaTheme="minorEastAsia" w:hAnsiTheme="minorHAnsi" w:cstheme="minorBidi"/>
      <w:color w:val="5A5A5A" w:themeColor="text1" w:themeTint="A5"/>
      <w:spacing w:val="15"/>
      <w:sz w:val="22"/>
      <w:szCs w:val="22"/>
      <w:u w:color="000000"/>
      <w:lang w:val="en-US"/>
      <w14:textOutline w14:w="0" w14:cap="flat" w14:cmpd="sng" w14:algn="ctr">
        <w14:noFill/>
        <w14:prstDash w14:val="solid"/>
        <w14:bevel/>
      </w14:textOutline>
    </w:rPr>
  </w:style>
  <w:style w:type="character" w:styleId="BesuchterLink">
    <w:name w:val="FollowedHyperlink"/>
    <w:basedOn w:val="Absatz-Standardschriftart"/>
    <w:uiPriority w:val="99"/>
    <w:semiHidden/>
    <w:unhideWhenUsed/>
    <w:rsid w:val="00483999"/>
    <w:rPr>
      <w:color w:val="FF00FF" w:themeColor="followedHyperlink"/>
      <w:u w:val="single"/>
    </w:rPr>
  </w:style>
  <w:style w:type="character" w:customStyle="1" w:styleId="berschrift6Zchn">
    <w:name w:val="Überschrift 6 Zchn"/>
    <w:basedOn w:val="Absatz-Standardschriftart"/>
    <w:link w:val="berschrift6"/>
    <w:uiPriority w:val="9"/>
    <w:semiHidden/>
    <w:rsid w:val="00742299"/>
    <w:rPr>
      <w:rFonts w:asciiTheme="minorHAnsi" w:eastAsiaTheme="majorEastAsia" w:hAnsiTheme="minorHAnsi" w:cstheme="majorBidi"/>
      <w:i/>
      <w:iCs/>
      <w:color w:val="595959" w:themeColor="text1" w:themeTint="A6"/>
      <w:kern w:val="2"/>
      <w:sz w:val="24"/>
      <w:szCs w:val="24"/>
      <w:bdr w:val="none" w:sz="0" w:space="0" w:color="auto"/>
      <w:lang w:val="de-DE" w:eastAsia="en-US"/>
      <w14:ligatures w14:val="standardContextual"/>
    </w:rPr>
  </w:style>
  <w:style w:type="paragraph" w:styleId="Funotentext">
    <w:name w:val="footnote text"/>
    <w:basedOn w:val="Standard"/>
    <w:link w:val="FunotentextZchn"/>
    <w:uiPriority w:val="99"/>
    <w:semiHidden/>
    <w:unhideWhenUsed/>
    <w:rsid w:val="00742299"/>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cs="Times New Roman"/>
      <w:color w:val="auto"/>
      <w:sz w:val="20"/>
      <w:szCs w:val="20"/>
      <w:bdr w:val="none" w:sz="0" w:space="0" w:color="auto"/>
      <w:lang w:eastAsia="en-US"/>
      <w14:textOutline w14:w="0" w14:cap="rnd" w14:cmpd="sng" w14:algn="ctr">
        <w14:noFill/>
        <w14:prstDash w14:val="solid"/>
        <w14:bevel/>
      </w14:textOutline>
    </w:rPr>
  </w:style>
  <w:style w:type="character" w:customStyle="1" w:styleId="FunotentextZchn">
    <w:name w:val="Fußnotentext Zchn"/>
    <w:basedOn w:val="Absatz-Standardschriftart"/>
    <w:link w:val="Funotentext"/>
    <w:uiPriority w:val="99"/>
    <w:semiHidden/>
    <w:rsid w:val="00742299"/>
    <w:rPr>
      <w:rFonts w:ascii="Lucida Sans Unicode" w:eastAsia="Times New Roman" w:hAnsi="Lucida Sans Unicode"/>
      <w:bdr w:val="none" w:sz="0" w:space="0" w:color="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youtube.com/user/KonicaMinoltaBD" TargetMode="External"/><Relationship Id="rId18" Type="http://schemas.openxmlformats.org/officeDocument/2006/relationships/hyperlink" Target="mailto:Melanie.Olbrich@konicaminolta.eu"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linkedin.com/company/konica-minolta-business-solutions-deutschland-gmbh" TargetMode="External"/><Relationship Id="rId17" Type="http://schemas.openxmlformats.org/officeDocument/2006/relationships/hyperlink" Target="https://konicaminolta.eu/mediastore-public" TargetMode="External"/><Relationship Id="rId2" Type="http://schemas.openxmlformats.org/officeDocument/2006/relationships/customXml" Target="../customXml/item2.xml"/><Relationship Id="rId16" Type="http://schemas.openxmlformats.org/officeDocument/2006/relationships/hyperlink" Target="https://www.konicaminolta.de/de-de/blo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konicaminolta.de/de-de/presse" TargetMode="External"/><Relationship Id="rId5" Type="http://schemas.openxmlformats.org/officeDocument/2006/relationships/styles" Target="styles.xml"/><Relationship Id="rId15" Type="http://schemas.openxmlformats.org/officeDocument/2006/relationships/hyperlink" Target="https://www.konicaminolta.de/de-de/presse" TargetMode="External"/><Relationship Id="rId10" Type="http://schemas.openxmlformats.org/officeDocument/2006/relationships/hyperlink" Target="https://www.konicaminolta.de/de-de/multifunktionsdrucker/bizhub-secure"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konicaminolta.de/"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T-Brand-theme">
  <a:themeElements>
    <a:clrScheme name="BT-Brand-theme">
      <a:dk1>
        <a:srgbClr val="000000"/>
      </a:dk1>
      <a:lt1>
        <a:srgbClr val="FFFFFF"/>
      </a:lt1>
      <a:dk2>
        <a:srgbClr val="A7A7A7"/>
      </a:dk2>
      <a:lt2>
        <a:srgbClr val="535353"/>
      </a:lt2>
      <a:accent1>
        <a:srgbClr val="0062C2"/>
      </a:accent1>
      <a:accent2>
        <a:srgbClr val="E5E3DF"/>
      </a:accent2>
      <a:accent3>
        <a:srgbClr val="009EB7"/>
      </a:accent3>
      <a:accent4>
        <a:srgbClr val="CEA100"/>
      </a:accent4>
      <a:accent5>
        <a:srgbClr val="C0167B"/>
      </a:accent5>
      <a:accent6>
        <a:srgbClr val="826FB0"/>
      </a:accent6>
      <a:hlink>
        <a:srgbClr val="0000FF"/>
      </a:hlink>
      <a:folHlink>
        <a:srgbClr val="FF00FF"/>
      </a:folHlink>
    </a:clrScheme>
    <a:fontScheme name="BT-Brand-theme">
      <a:majorFont>
        <a:latin typeface="Lucida Sans Unicode"/>
        <a:ea typeface="Lucida Sans Unicode"/>
        <a:cs typeface="Lucida Sans Unicode"/>
      </a:majorFont>
      <a:minorFont>
        <a:latin typeface="Lucida Sans Unicode"/>
        <a:ea typeface="Lucida Sans Unicode"/>
        <a:cs typeface="Lucida Sans Unicode"/>
      </a:minorFont>
    </a:fontScheme>
    <a:fmtScheme name="BT-Brand-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0795" cap="flat">
          <a:solidFill>
            <a:schemeClr val="accent1"/>
          </a:solidFill>
          <a:prstDash val="solid"/>
          <a:round/>
        </a:ln>
        <a:effectLst/>
        <a:sp3d/>
      </a:spPr>
      <a:bodyPr rot="0" spcFirstLastPara="1" vertOverflow="overflow" horzOverflow="overflow" vert="horz" wrap="square" lIns="45719" tIns="45719" rIns="45719" bIns="45719" numCol="1" spcCol="38100" rtlCol="0" anchor="ctr">
        <a:spAutoFit/>
      </a:bodyPr>
      <a:lstStyle>
        <a:defPPr marL="630555" marR="0" indent="0" algn="l" defTabSz="450215"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mn-lt"/>
            <a:ea typeface="+mn-ea"/>
            <a:cs typeface="+mn-cs"/>
            <a:sym typeface="Lucida Sans Unicod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0795"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630555" marR="0" indent="0" algn="l" defTabSz="450215"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mn-lt"/>
            <a:ea typeface="+mn-ea"/>
            <a:cs typeface="+mn-cs"/>
            <a:sym typeface="Lucida Sans Unicod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1f82d1b-cdef-48b1-8008-eb8b2d0b3ba2">
      <Terms xmlns="http://schemas.microsoft.com/office/infopath/2007/PartnerControls"/>
    </lcf76f155ced4ddcb4097134ff3c332f>
    <TaxCatchAll xmlns="c7ab0dc1-0346-4d05-8900-c045d28fa29e" xsi:nil="true"/>
    <Datum xmlns="21f82d1b-cdef-48b1-8008-eb8b2d0b3ba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5831F30CBB9A6E4D9E8CB63B0905E579" ma:contentTypeVersion="20" ma:contentTypeDescription="Ein neues Dokument erstellen." ma:contentTypeScope="" ma:versionID="e220bba578f18e0667209800f0cc58e8">
  <xsd:schema xmlns:xsd="http://www.w3.org/2001/XMLSchema" xmlns:xs="http://www.w3.org/2001/XMLSchema" xmlns:p="http://schemas.microsoft.com/office/2006/metadata/properties" xmlns:ns2="21f82d1b-cdef-48b1-8008-eb8b2d0b3ba2" xmlns:ns3="c7ab0dc1-0346-4d05-8900-c045d28fa29e" targetNamespace="http://schemas.microsoft.com/office/2006/metadata/properties" ma:root="true" ma:fieldsID="e73917e29ef56978664d0aa61fa5cafb" ns2:_="" ns3:_="">
    <xsd:import namespace="21f82d1b-cdef-48b1-8008-eb8b2d0b3ba2"/>
    <xsd:import namespace="c7ab0dc1-0346-4d05-8900-c045d28fa29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Datum" minOccurs="0"/>
                <xsd:element ref="ns2:MediaServiceOCR" minOccurs="0"/>
                <xsd:element ref="ns3:SharedWithUsers" minOccurs="0"/>
                <xsd:element ref="ns3:SharedWithDetails"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f82d1b-cdef-48b1-8008-eb8b2d0b3b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Datum" ma:index="12" nillable="true" ma:displayName="Datum" ma:format="DateOnly" ma:internalName="Datum">
      <xsd:simpleType>
        <xsd:restriction base="dms:DateTime"/>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dmarkierungen" ma:readOnly="false" ma:fieldId="{5cf76f15-5ced-4ddc-b409-7134ff3c332f}" ma:taxonomyMulti="true" ma:sspId="9f6f4dba-2777-4926-bc9c-f0215c6e5e4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ab0dc1-0346-4d05-8900-c045d28fa29e"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24" nillable="true" ma:displayName="Taxonomy Catch All Column" ma:hidden="true" ma:list="{ef9eef9a-4d02-403e-acf6-2cd9818d8331}" ma:internalName="TaxCatchAll" ma:showField="CatchAllData" ma:web="c7ab0dc1-0346-4d05-8900-c045d28fa2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F08C57-6814-4C66-8D4F-14F03DD3C2A0}">
  <ds:schemaRefs>
    <ds:schemaRef ds:uri="http://schemas.microsoft.com/sharepoint/v3/contenttype/forms"/>
  </ds:schemaRefs>
</ds:datastoreItem>
</file>

<file path=customXml/itemProps2.xml><?xml version="1.0" encoding="utf-8"?>
<ds:datastoreItem xmlns:ds="http://schemas.openxmlformats.org/officeDocument/2006/customXml" ds:itemID="{B71BE497-56EE-434D-B362-A2A563216D95}">
  <ds:schemaRefs>
    <ds:schemaRef ds:uri="http://schemas.microsoft.com/office/2006/metadata/properties"/>
    <ds:schemaRef ds:uri="http://schemas.microsoft.com/office/infopath/2007/PartnerControls"/>
    <ds:schemaRef ds:uri="21f82d1b-cdef-48b1-8008-eb8b2d0b3ba2"/>
    <ds:schemaRef ds:uri="c7ab0dc1-0346-4d05-8900-c045d28fa29e"/>
  </ds:schemaRefs>
</ds:datastoreItem>
</file>

<file path=customXml/itemProps3.xml><?xml version="1.0" encoding="utf-8"?>
<ds:datastoreItem xmlns:ds="http://schemas.openxmlformats.org/officeDocument/2006/customXml" ds:itemID="{4A87FA71-D69F-42B5-A3CE-895181A311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f82d1b-cdef-48b1-8008-eb8b2d0b3ba2"/>
    <ds:schemaRef ds:uri="c7ab0dc1-0346-4d05-8900-c045d28fa2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1188</Words>
  <Characters>9286</Characters>
  <Application>Microsoft Office Word</Application>
  <DocSecurity>0</DocSecurity>
  <Lines>215</Lines>
  <Paragraphs>45</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10429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Vasak</dc:creator>
  <cp:keywords/>
  <dc:description/>
  <cp:lastModifiedBy>Alexandra Vasak</cp:lastModifiedBy>
  <cp:revision>15</cp:revision>
  <dcterms:created xsi:type="dcterms:W3CDTF">2026-10-07T12:03:00Z</dcterms:created>
  <dcterms:modified xsi:type="dcterms:W3CDTF">2026-10-07T14:45:00Z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0x0101005831F30CBB9A6E4D9E8CB63B0905E579</vt:lpwstr>
  </property>
  <property fmtid="{D5CDD505-2E9C-101B-9397-08002B2CF9AE}" pid="3" name="MediaServiceImageTags">
    <vt:lpwstr/>
  </property>
</Properties>
</file>